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Resolução dos Conflitos da Base Terminológica</w:t>
      </w:r>
    </w:p>
    <w:p>
      <w:pPr>
        <w:jc w:val="center"/>
      </w:pPr>
      <w:r>
        <w:rPr>
          <w:i/>
          <w:color w:val="555555"/>
          <w:sz w:val="22"/>
        </w:rPr>
        <w:t>Anexo I do Guia de Revisão e Governança Terminológica v2 · 16 de setembro de 2026 · Agente 86</w:t>
      </w:r>
    </w:p>
    <w:p/>
    <w:p>
      <w:pPr>
        <w:spacing w:before="280"/>
      </w:pPr>
      <w:r>
        <w:rPr>
          <w:b/>
          <w:color w:val="1F3B57"/>
          <w:sz w:val="32"/>
        </w:rPr>
        <w:t>Resolução dos Conflitos da Base Terminológica</w:t>
      </w:r>
    </w:p>
    <w:p>
      <w:pPr>
        <w:jc w:val="both"/>
      </w:pPr>
      <w:r>
        <w:rPr>
          <w:b/>
        </w:rPr>
        <w:t>Documento:</w:t>
      </w:r>
      <w:r>
        <w:t xml:space="preserve"> Anexo I do Guia de Revisão e Governança Terminológica — v2</w:t>
      </w:r>
    </w:p>
    <w:p>
      <w:pPr>
        <w:jc w:val="both"/>
      </w:pPr>
      <w:r>
        <w:rPr>
          <w:b/>
        </w:rPr>
        <w:t>Elaborado por:</w:t>
      </w:r>
      <w:r>
        <w:t xml:space="preserve"> Agente 86 (revisor terminológico)</w:t>
      </w:r>
    </w:p>
    <w:p>
      <w:pPr>
        <w:jc w:val="both"/>
      </w:pPr>
      <w:r>
        <w:rPr>
          <w:b/>
        </w:rPr>
        <w:t>Data:</w:t>
      </w:r>
      <w:r>
        <w:t xml:space="preserve"> 16 de setembro de 2026</w:t>
      </w:r>
    </w:p>
    <w:p>
      <w:pPr>
        <w:jc w:val="both"/>
      </w:pPr>
      <w:r>
        <w:rPr>
          <w:b/>
        </w:rPr>
        <w:t>Status:</w:t>
      </w:r>
      <w:r>
        <w:t xml:space="preserve"> submetido à aprovação do Comandante — nenhuma revisão de transcrição começa antes deste despacho</w:t>
      </w:r>
    </w:p>
    <w:p>
      <w:pPr>
        <w:jc w:val="both"/>
      </w:pPr>
      <w:r>
        <w:rPr>
          <w:b/>
        </w:rPr>
        <w:t>Fontes de evidência:</w:t>
      </w:r>
      <w:r>
        <w:t xml:space="preserve"> </w:t>
      </w:r>
      <w:r>
        <w:rPr>
          <w:rFonts w:ascii="Consolas" w:hAnsi="Consolas"/>
          <w:sz w:val="20"/>
        </w:rPr>
        <w:t>KB-RC/canonico.json</w:t>
      </w:r>
      <w:r>
        <w:t xml:space="preserve"> (946 termos, formato canonico-1.1), </w:t>
      </w:r>
      <w:r>
        <w:rPr>
          <w:rFonts w:ascii="Consolas" w:hAnsi="Consolas"/>
          <w:sz w:val="20"/>
        </w:rPr>
        <w:t>KB-RC/biblio.json</w:t>
      </w:r>
      <w:r>
        <w:t xml:space="preserve"> (104 obras), </w:t>
      </w:r>
      <w:r>
        <w:rPr>
          <w:rFonts w:ascii="Consolas" w:hAnsi="Consolas"/>
          <w:sz w:val="20"/>
        </w:rPr>
        <w:t>KB-RC/termos/*.md</w:t>
      </w:r>
      <w:r>
        <w:t xml:space="preserve"> (820 fichas), </w:t>
      </w:r>
      <w:r>
        <w:rPr>
          <w:rFonts w:ascii="Consolas" w:hAnsi="Consolas"/>
          <w:sz w:val="20"/>
        </w:rPr>
        <w:t>base-terminologica.xlsx</w:t>
      </w:r>
      <w:r>
        <w:t xml:space="preserve"> (fonte legada), </w:t>
      </w:r>
      <w:r>
        <w:rPr>
          <w:rFonts w:ascii="Consolas" w:hAnsi="Consolas"/>
          <w:sz w:val="20"/>
        </w:rPr>
        <w:t>Guia - SISTEMA DE REVISÃO E GOVERNANÇA TERMINOLÓGICA.docx</w:t>
      </w:r>
      <w:r>
        <w:t xml:space="preserve"> (Guia v1), transcrição </w:t>
      </w:r>
      <w:r>
        <w:rPr>
          <w:i/>
        </w:rPr>
        <w:t>Revelações Cósmicas Urgente – Jan Val Ellam</w:t>
      </w:r>
    </w:p>
    <w:p>
      <w:pPr>
        <w:spacing w:before="200"/>
      </w:pPr>
      <w:r>
        <w:rPr>
          <w:b/>
          <w:color w:val="1F3B57"/>
          <w:sz w:val="24"/>
        </w:rPr>
        <w:t>1. Sumário executivo</w:t>
      </w:r>
    </w:p>
    <w:p>
      <w:pPr>
        <w:jc w:val="both"/>
      </w:pPr>
      <w:r>
        <w:t xml:space="preserve">Os oito conflitos apontados na auditoria estão </w:t>
      </w:r>
      <w:r>
        <w:rPr>
          <w:b/>
        </w:rPr>
        <w:t>todos resolvidos com evidência documental</w:t>
      </w:r>
      <w:r>
        <w:t xml:space="preserve">. Em cinco deles a KB-RC decide sozinha; em dois a KB-RC e o Guia v1 divergem e a KB-RC prevalece; em um (Jeane Miranda) não há conflito de grafia, há </w:t>
      </w:r>
      <w:r>
        <w:rPr>
          <w:b/>
        </w:rPr>
        <w:t>lacuna de registro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Conflito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Decisão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Autoridade da decisão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Efeito imediato no pipeline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Asphezian × Asfezion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Asphezian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RC-025 + planilha (aba Índice Mestre); "Asfezion" tem zero ocorrências na KB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Guia v1 §5.3 corrigido; semente Asfezion removida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RC-092 × RC-252 (Quarto Logos × Olm)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RC-092 = Quarto Logos; RC-252 = Olm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canonico.json + B016 "O Quarto Logos"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Guia v1 §5.1 tinha os códigos invertidos; a forma "Olm" passa a ser suspensa por homografia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Brahma × Brama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RC-037 "Brahma (Brajna)" + Quarentena Terminológica (NUNCA "Brama")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 ocorrências nesta transcrição; Guia v1 não tinha regra para o erro mais frequente do texto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Jeane Miranda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Grafia confirmada; falta ficha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 fichas a mencionam; nenhuma a registra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Criar ficha na categoria 1.6 (Figuras humanas)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Len Mion × Lemion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Len Mion (canônico); Lemion/Lemon/Lemior/Nemon = grafias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RC-074, linha 87 da ficha: "'Lemion/Lemon/Lemior' é grafia STT de Len Mion (Satã, RC-074)"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Guia v1 já decidia certo; a lista de variantes foi ampliada de 2 para 5 formas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radiato × radiata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radiata / radiatas (feminino)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RC-631 "Cérebro Radiata", RC-093 "Radiatas", RC-834 "mente radiata"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"radiato" vira variante STT; 15 ocorrências de "radiato" na KB são citações ou títulos curatoriais a sanear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elogismo → ilogismo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Regra descartada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"ilogismo" não existe na KB nem no texto (a única ocorrência encontrada é silogismo, em RC-009)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Guia v1 §5.4 perde esta linha; sem efeito prático nesta transcrição (0 ocorrências)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Duplicatas na base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 remissões confirmadas; 3 pares são complementares, não duplicados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fichas marcadas REMISSIVA (RC-449, RC-769, RC-872, RC-936)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canonico.json precisa expor o campo de remissão (hoje só 3 menções a "remiss" em 946 termos)</w:t>
            </w:r>
          </w:p>
        </w:tc>
      </w:tr>
    </w:tbl>
    <w:p/>
    <w:p>
      <w:pPr>
        <w:jc w:val="both"/>
      </w:pPr>
      <w:r>
        <w:rPr>
          <w:b/>
        </w:rPr>
        <w:t>Placar:</w:t>
      </w:r>
      <w:r>
        <w:t xml:space="preserve"> 6 decisões a favor da KB-RC, 1 contra o Guia v1 (conflito 1), 1 regra do Guia v1 descartada (conflito 7). Nenhum conflito exigiu decisão por intuição fonética.</w:t>
      </w:r>
    </w:p>
    <w:p>
      <w:pPr>
        <w:spacing w:before="200"/>
      </w:pPr>
      <w:r>
        <w:rPr>
          <w:b/>
          <w:color w:val="1F3B57"/>
          <w:sz w:val="24"/>
        </w:rPr>
        <w:t>2. Critério de evidência usado</w:t>
      </w:r>
    </w:p>
    <w:p>
      <w:pPr>
        <w:jc w:val="both"/>
      </w:pPr>
      <w:r>
        <w:t>Hierarquia aplicada em todos os oito casos, do mais forte para o mais fraco:</w:t>
      </w:r>
    </w:p>
    <w:p>
      <w:pPr>
        <w:pStyle w:val="ListNumber"/>
      </w:pPr>
      <w:r>
        <w:rPr>
          <w:b/>
        </w:rPr>
        <w:t>Quarentena Terminológica</w:t>
      </w:r>
      <w:r>
        <w:t xml:space="preserve"> da ficha — seção presente em RC-826 a RC-833, com regras do tipo </w:t>
      </w:r>
      <w:r>
        <w:rPr>
          <w:rFonts w:ascii="Consolas" w:hAnsi="Consolas"/>
          <w:sz w:val="20"/>
        </w:rPr>
        <w:t>NUNCA "Brama"</w:t>
      </w:r>
      <w:r>
        <w:t xml:space="preserve">, </w:t>
      </w:r>
      <w:r>
        <w:rPr>
          <w:rFonts w:ascii="Consolas" w:hAnsi="Consolas"/>
          <w:sz w:val="20"/>
        </w:rPr>
        <w:t>NUNCA "Sofia"</w:t>
      </w:r>
      <w:r>
        <w:t xml:space="preserve">, </w:t>
      </w:r>
      <w:r>
        <w:rPr>
          <w:rFonts w:ascii="Consolas" w:hAnsi="Consolas"/>
          <w:sz w:val="20"/>
        </w:rPr>
        <w:t>NUNCA "Luzbel" sozinho</w:t>
      </w:r>
      <w:r>
        <w:t xml:space="preserve">, </w:t>
      </w:r>
      <w:r>
        <w:rPr>
          <w:rFonts w:ascii="Consolas" w:hAnsi="Consolas"/>
          <w:sz w:val="20"/>
        </w:rPr>
        <w:t>NUNCA "Aia/Aie"</w:t>
      </w:r>
      <w:r>
        <w:t>. É a norma explícita do curador.</w:t>
      </w:r>
    </w:p>
    <w:p>
      <w:pPr>
        <w:pStyle w:val="ListNumber"/>
      </w:pPr>
      <w:r>
        <w:rPr>
          <w:b/>
        </w:rPr>
        <w:t>Nome do termo em `canonico.json`</w:t>
      </w:r>
      <w:r>
        <w:t xml:space="preserve"> — verdade-mestra gerada do registro-mestre; é o que as ferramentas consultam.</w:t>
      </w:r>
    </w:p>
    <w:p>
      <w:pPr>
        <w:pStyle w:val="ListNumber"/>
      </w:pPr>
      <w:r>
        <w:rPr>
          <w:b/>
        </w:rPr>
        <w:t>Seção "Etimologia e Grafias"</w:t>
      </w:r>
      <w:r>
        <w:t xml:space="preserve"> da ficha (406 fichas a possuem; 338 trazem grafia preferida) e o campo de variações de STT.</w:t>
      </w:r>
    </w:p>
    <w:p>
      <w:pPr>
        <w:pStyle w:val="ListNumber"/>
      </w:pPr>
      <w:r>
        <w:rPr>
          <w:b/>
        </w:rPr>
        <w:t>Prosa da ficha com data e fonte</w:t>
      </w:r>
      <w:r>
        <w:t xml:space="preserve"> (ex.: </w:t>
      </w:r>
      <w:r>
        <w:rPr>
          <w:rFonts w:ascii="Consolas" w:hAnsi="Consolas"/>
          <w:sz w:val="20"/>
        </w:rPr>
        <w:t>[P2020-04-25 · …]</w:t>
      </w:r>
      <w:r>
        <w:t xml:space="preserve">, </w:t>
      </w:r>
      <w:r>
        <w:rPr>
          <w:rFonts w:ascii="Consolas" w:hAnsi="Consolas"/>
          <w:sz w:val="20"/>
        </w:rPr>
        <w:t>(U0084)</w:t>
      </w:r>
      <w:r>
        <w:t>) — evidência datada vence evidência não datada.</w:t>
      </w:r>
    </w:p>
    <w:p>
      <w:pPr>
        <w:pStyle w:val="ListNumber"/>
      </w:pPr>
      <w:r>
        <w:rPr>
          <w:b/>
        </w:rPr>
        <w:t>`biblio.json`</w:t>
      </w:r>
      <w:r>
        <w:t xml:space="preserve"> — títulos de obras fixam grafias (ex.: B016 "O Quarto Logos").</w:t>
      </w:r>
    </w:p>
    <w:p>
      <w:pPr>
        <w:pStyle w:val="ListNumber"/>
      </w:pPr>
      <w:r>
        <w:rPr>
          <w:b/>
        </w:rPr>
        <w:t>Planilha `base-terminologica.xlsx`</w:t>
      </w:r>
      <w:r>
        <w:t xml:space="preserve"> — fonte legada, usada apenas para conferência.</w:t>
      </w:r>
    </w:p>
    <w:p>
      <w:pPr>
        <w:pStyle w:val="ListNumber"/>
      </w:pPr>
      <w:r>
        <w:rPr>
          <w:b/>
        </w:rPr>
        <w:t>Guia v1</w:t>
      </w:r>
      <w:r>
        <w:t xml:space="preserve"> — menor peso: é derivado, não primário.</w:t>
      </w:r>
    </w:p>
    <w:p>
      <w:pPr>
        <w:jc w:val="both"/>
      </w:pPr>
      <w:r>
        <w:t>Dois princípios complementares:</w:t>
      </w:r>
    </w:p>
    <w:p>
      <w:pPr>
        <w:pStyle w:val="ListBullet"/>
        <w:ind w:left="360"/>
      </w:pPr>
      <w:r>
        <w:rPr>
          <w:b/>
        </w:rPr>
        <w:t>Quando a KB se contradiz</w:t>
      </w:r>
      <w:r>
        <w:t xml:space="preserve">, vence a regra mais específica e mais recente (campo </w:t>
      </w:r>
      <w:r>
        <w:rPr>
          <w:rFonts w:ascii="Consolas" w:hAnsi="Consolas"/>
          <w:sz w:val="20"/>
        </w:rPr>
        <w:t>atualizado</w:t>
      </w:r>
      <w:r>
        <w:t xml:space="preserve"> da ficha). Quando não há evidência, a forma fica </w:t>
      </w:r>
      <w:r>
        <w:rPr>
          <w:rFonts w:ascii="Consolas" w:hAnsi="Consolas"/>
          <w:sz w:val="20"/>
        </w:rPr>
        <w:t>[A CONFIRMAR]</w:t>
      </w:r>
      <w:r>
        <w:t xml:space="preserve"> e </w:t>
      </w:r>
      <w:r>
        <w:rPr>
          <w:b/>
        </w:rPr>
        <w:t>não se substitui nada</w:t>
      </w:r>
      <w:r>
        <w:t>.</w:t>
      </w:r>
    </w:p>
    <w:p>
      <w:pPr>
        <w:pStyle w:val="ListBullet"/>
        <w:ind w:left="360"/>
      </w:pPr>
      <w:r>
        <w:rPr>
          <w:b/>
        </w:rPr>
        <w:t>Citação literal preserva a forma STT.</w:t>
      </w:r>
      <w:r>
        <w:t xml:space="preserve"> A KB contém "Brama", "Sofia" e "Lemion" dentro de aspas porque reproduz a fala bruta. A Quarentena rege o </w:t>
      </w:r>
      <w:r>
        <w:rPr>
          <w:b/>
        </w:rPr>
        <w:t>texto editorial</w:t>
      </w:r>
      <w:r>
        <w:t>, não as citações. Sem este princípio, o conflito 3 e o conflito 5 pareceriam insolúveis.</w:t>
      </w:r>
    </w:p>
    <w:p>
      <w:pPr>
        <w:spacing w:before="200"/>
      </w:pPr>
      <w:r>
        <w:rPr>
          <w:b/>
          <w:color w:val="1F3B57"/>
          <w:sz w:val="24"/>
        </w:rPr>
        <w:t>3. Conflito a conflito</w:t>
      </w:r>
    </w:p>
    <w:p>
      <w:pPr>
        <w:spacing w:before="200"/>
      </w:pPr>
      <w:r>
        <w:rPr>
          <w:b/>
          <w:color w:val="1F3B57"/>
          <w:sz w:val="22"/>
        </w:rPr>
        <w:t>3.1 Conflito 1 — Asphezian × Asfezion</w:t>
      </w:r>
    </w:p>
    <w:p>
      <w:pPr>
        <w:jc w:val="both"/>
      </w:pPr>
      <w:r>
        <w:rPr>
          <w:b/>
        </w:rPr>
        <w:t>O que o Guia v1 diz (§5.3):</w:t>
      </w:r>
      <w:r>
        <w:t xml:space="preserve"> "Termos como biodemo/biodemos, radiato/radiata, Wyrd e </w:t>
      </w:r>
      <w:r>
        <w:rPr>
          <w:b/>
        </w:rPr>
        <w:t>Asfezion</w:t>
      </w:r>
      <w:r>
        <w:t xml:space="preserve"> (designação de nave/complexo operacional, evitando variações como 'Asfésian' ou 'Fessien') devem ser inseridos rigorosamente em sua forma canônica."</w:t>
      </w:r>
    </w:p>
    <w:p>
      <w:pPr>
        <w:jc w:val="both"/>
      </w:pPr>
      <w:r>
        <w:rPr>
          <w:b/>
        </w:rPr>
        <w:t>O que a KB diz:</w:t>
      </w:r>
      <w:r>
        <w:t xml:space="preserve"> </w:t>
      </w:r>
      <w:r>
        <w:rPr>
          <w:rFonts w:ascii="Consolas" w:hAnsi="Consolas"/>
          <w:sz w:val="20"/>
        </w:rPr>
        <w:t>canonico.json</w:t>
      </w:r>
      <w:r>
        <w:t xml:space="preserve"> RC-025 = </w:t>
      </w:r>
      <w:r>
        <w:rPr>
          <w:b/>
        </w:rPr>
        <w:t>Asphezian</w:t>
      </w:r>
      <w:r>
        <w:t xml:space="preserve">, categoria "Tecnologias &amp; Artefatos", subcategoria "5.1 Naves / Tecnologia extraterrestre", status 🟠 em análise, confiança </w:t>
      </w:r>
      <w:r>
        <w:rPr>
          <w:b/>
        </w:rPr>
        <w:t>baixa</w:t>
      </w:r>
      <w:r>
        <w:t xml:space="preserve">, via P7, fontes B031 e P2018-12-15. A planilha legada traz o mesmo nome. Contagem na KB: </w:t>
      </w:r>
      <w:r>
        <w:rPr>
          <w:b/>
        </w:rPr>
        <w:t>Asphezian 28 ocorrências; Asfezion 0 ocorrências</w:t>
      </w:r>
      <w:r>
        <w:t>.</w:t>
      </w:r>
    </w:p>
    <w:p>
      <w:pPr>
        <w:jc w:val="both"/>
      </w:pPr>
      <w:r>
        <w:rPr>
          <w:b/>
        </w:rPr>
        <w:t>Decisão:</w:t>
      </w:r>
      <w:r>
        <w:t xml:space="preserve"> canônico = </w:t>
      </w:r>
      <w:r>
        <w:rPr>
          <w:b/>
        </w:rPr>
        <w:t>Asphezian</w:t>
      </w:r>
      <w:r>
        <w:t xml:space="preserve"> (RC-025). O Guia v1 inverteu a relação: tratou como canônica uma forma que não existe em nenhum registro, e listou como "variação a evitar" justamente a forma canônica ("Asfésian" ≈ Asphezian).</w:t>
      </w:r>
    </w:p>
    <w:p>
      <w:pPr>
        <w:jc w:val="both"/>
      </w:pPr>
      <w:r>
        <w:rPr>
          <w:b/>
        </w:rPr>
        <w:t>Aplicação:</w:t>
      </w:r>
      <w:r>
        <w:t xml:space="preserve"> semente </w:t>
      </w:r>
      <w:r>
        <w:rPr>
          <w:rFonts w:ascii="Consolas" w:hAnsi="Consolas"/>
          <w:sz w:val="20"/>
        </w:rPr>
        <w:t>Asfezion</w:t>
      </w:r>
      <w:r>
        <w:t xml:space="preserve"> retirada do dicionário de correções; </w:t>
      </w:r>
      <w:r>
        <w:rPr>
          <w:rFonts w:ascii="Consolas" w:hAnsi="Consolas"/>
          <w:sz w:val="20"/>
        </w:rPr>
        <w:t>Asphezian</w:t>
      </w:r>
      <w:r>
        <w:t xml:space="preserve"> entra como forma canônica. Por ser termo de </w:t>
      </w:r>
      <w:r>
        <w:rPr>
          <w:b/>
        </w:rPr>
        <w:t>confiança baixa e status "em análise"</w:t>
      </w:r>
      <w:r>
        <w:t xml:space="preserve">, toda ocorrência revisada recebe </w:t>
      </w:r>
      <w:r>
        <w:rPr>
          <w:rFonts w:ascii="Consolas" w:hAnsi="Consolas"/>
          <w:sz w:val="20"/>
        </w:rPr>
        <w:t>[A CONFIRMAR]</w:t>
      </w:r>
      <w:r>
        <w:t xml:space="preserve"> na primeira aparição do bloco.</w:t>
      </w:r>
    </w:p>
    <w:p>
      <w:pPr>
        <w:jc w:val="both"/>
      </w:pPr>
      <w:r>
        <w:rPr>
          <w:b/>
        </w:rPr>
        <w:t>Pendência:</w:t>
      </w:r>
      <w:r>
        <w:t xml:space="preserve"> a confiança baixa vem de uma única via (P7). Recomenda-se reexame quando nova palestra mencionar a nave.</w:t>
      </w:r>
    </w:p>
    <w:p>
      <w:pPr>
        <w:spacing w:before="200"/>
      </w:pPr>
      <w:r>
        <w:rPr>
          <w:b/>
          <w:color w:val="1F3B57"/>
          <w:sz w:val="22"/>
        </w:rPr>
        <w:t>3.2 Conflito 2 — RC-092 × RC-252 (Quarto Logos × Olm)</w:t>
      </w:r>
    </w:p>
    <w:p>
      <w:pPr>
        <w:jc w:val="both"/>
      </w:pPr>
      <w:r>
        <w:rPr>
          <w:b/>
        </w:rPr>
        <w:t>O que o Guia v1 diz (§5.1):</w:t>
      </w:r>
      <w:r>
        <w:t xml:space="preserve"> "Ohm / Olm → Ohm (Zion) / Olm (Logos) | Verificar distinção na planilha: </w:t>
      </w:r>
      <w:r>
        <w:rPr>
          <w:b/>
        </w:rPr>
        <w:t>RC-092 (Codificador) vs RC-252 (Quarto Logos)</w:t>
      </w:r>
      <w:r>
        <w:t>."</w:t>
      </w:r>
    </w:p>
    <w:p>
      <w:pPr>
        <w:jc w:val="both"/>
      </w:pPr>
      <w:r>
        <w:rPr>
          <w:b/>
        </w:rPr>
        <w:t>O que a KB diz:</w:t>
      </w:r>
    </w:p>
    <w:p>
      <w:pPr>
        <w:pStyle w:val="ListBullet"/>
        <w:ind w:left="360"/>
      </w:pPr>
      <w:r>
        <w:t xml:space="preserve">RC-092 = </w:t>
      </w:r>
      <w:r>
        <w:rPr>
          <w:b/>
        </w:rPr>
        <w:t>Quarto Logos (Olm / Codificador de Zian)</w:t>
      </w:r>
      <w:r>
        <w:t xml:space="preserve"> — verificado, confiança alta.</w:t>
      </w:r>
    </w:p>
    <w:p>
      <w:pPr>
        <w:pStyle w:val="ListBullet"/>
        <w:ind w:left="360"/>
      </w:pPr>
      <w:r>
        <w:t xml:space="preserve">RC-252 = </w:t>
      </w:r>
      <w:r>
        <w:rPr>
          <w:b/>
        </w:rPr>
        <w:t>Olm (Codificador de Zion/Zian)</w:t>
      </w:r>
      <w:r>
        <w:t xml:space="preserve"> — verificado, confiança alta.</w:t>
      </w:r>
    </w:p>
    <w:p>
      <w:pPr>
        <w:pStyle w:val="ListBullet"/>
        <w:ind w:left="360"/>
      </w:pPr>
      <w:r>
        <w:t xml:space="preserve">B016 = </w:t>
      </w:r>
      <w:r>
        <w:rPr>
          <w:b/>
        </w:rPr>
        <w:t>O Quarto Logos</w:t>
      </w:r>
      <w:r>
        <w:t xml:space="preserve"> (obra primária, 217 págs., 1ª ed. 2017, Natal-RN) — trabalhada.</w:t>
      </w:r>
    </w:p>
    <w:p>
      <w:pPr>
        <w:jc w:val="both"/>
      </w:pPr>
      <w:r>
        <w:rPr>
          <w:b/>
        </w:rPr>
        <w:t>Decisão:</w:t>
      </w:r>
      <w:r>
        <w:t xml:space="preserve"> os códigos do Guia v1 estão </w:t>
      </w:r>
      <w:r>
        <w:rPr>
          <w:b/>
        </w:rPr>
        <w:t>invertidos</w:t>
      </w:r>
      <w:r>
        <w:t xml:space="preserve">. Vale o </w:t>
      </w:r>
      <w:r>
        <w:rPr>
          <w:rFonts w:ascii="Consolas" w:hAnsi="Consolas"/>
          <w:sz w:val="20"/>
        </w:rPr>
        <w:t>canonico.json</w:t>
      </w:r>
      <w:r>
        <w:t xml:space="preserve">: RC-092 é </w:t>
      </w:r>
      <w:r>
        <w:rPr>
          <w:i/>
        </w:rPr>
        <w:t>Quarto Logos</w:t>
      </w:r>
      <w:r>
        <w:t xml:space="preserve">, RC-252 é </w:t>
      </w:r>
      <w:r>
        <w:rPr>
          <w:i/>
        </w:rPr>
        <w:t>Olm</w:t>
      </w:r>
      <w:r>
        <w:t xml:space="preserve">. A glossa "Olm (Logos)" do Guia também está errada — Olm é o </w:t>
      </w:r>
      <w:r>
        <w:rPr>
          <w:b/>
        </w:rPr>
        <w:t>Codificador</w:t>
      </w:r>
      <w:r>
        <w:t>, e "Quarto Logos" é o termo cuja glossa contém Olm.</w:t>
      </w:r>
    </w:p>
    <w:p>
      <w:pPr>
        <w:jc w:val="both"/>
      </w:pPr>
      <w:r>
        <w:rPr>
          <w:b/>
        </w:rPr>
        <w:t>Aplicação:</w:t>
      </w:r>
      <w:r>
        <w:t xml:space="preserve"> a forma "Olm" é agora </w:t>
      </w:r>
      <w:r>
        <w:rPr>
          <w:b/>
        </w:rPr>
        <w:t>suspensa automaticamente</w:t>
      </w:r>
      <w:r>
        <w:t xml:space="preserve"> pelo motor (seção 3.1 do diagnóstico: homografia entre RC-092 e RC-252) e só é resolvida por contexto. "Ohm" permanece como variante STT a verificar caso a caso.</w:t>
      </w:r>
    </w:p>
    <w:p>
      <w:pPr>
        <w:jc w:val="both"/>
      </w:pPr>
      <w:r>
        <w:rPr>
          <w:b/>
        </w:rPr>
        <w:t>Pendências:</w:t>
      </w:r>
      <w:r>
        <w:t xml:space="preserve"> (a) RC-092 grafa "</w:t>
      </w:r>
      <w:r>
        <w:rPr>
          <w:b/>
        </w:rPr>
        <w:t>Zian</w:t>
      </w:r>
      <w:r>
        <w:t>" e RC-252 grafa "</w:t>
      </w:r>
      <w:r>
        <w:rPr>
          <w:b/>
        </w:rPr>
        <w:t>Zion/Zian</w:t>
      </w:r>
      <w:r>
        <w:t xml:space="preserve">" — uniformizar; (b) registrar explicitamente a relação RC-092 ↔ RC-252 (hoje só há </w:t>
      </w:r>
      <w:r>
        <w:rPr>
          <w:rFonts w:ascii="Consolas" w:hAnsi="Consolas"/>
          <w:sz w:val="20"/>
        </w:rPr>
        <w:t>relaciona-se-a</w:t>
      </w:r>
      <w:r>
        <w:t xml:space="preserve"> genérico).</w:t>
      </w:r>
    </w:p>
    <w:p>
      <w:pPr>
        <w:spacing w:before="200"/>
      </w:pPr>
      <w:r>
        <w:rPr>
          <w:b/>
          <w:color w:val="1F3B57"/>
          <w:sz w:val="22"/>
        </w:rPr>
        <w:t>3.3 Conflito 3 — Brahma × Brama</w:t>
      </w:r>
    </w:p>
    <w:p>
      <w:pPr>
        <w:jc w:val="both"/>
      </w:pPr>
      <w:r>
        <w:rPr>
          <w:b/>
        </w:rPr>
        <w:t>O que o Guia v1 diz:</w:t>
      </w:r>
      <w:r>
        <w:t xml:space="preserve"> nada. "Brama" e "Brahma" têm </w:t>
      </w:r>
      <w:r>
        <w:rPr>
          <w:b/>
        </w:rPr>
        <w:t>zero ocorrências</w:t>
      </w:r>
      <w:r>
        <w:t xml:space="preserve"> no Guia v1 — o erro terminológico mais frequente desta transcrição (8 ocorrências) não tinha regra.</w:t>
      </w:r>
    </w:p>
    <w:p>
      <w:pPr>
        <w:jc w:val="both"/>
      </w:pPr>
      <w:r>
        <w:rPr>
          <w:b/>
        </w:rPr>
        <w:t>O que a KB diz:</w:t>
      </w:r>
    </w:p>
    <w:p>
      <w:pPr>
        <w:pStyle w:val="ListBullet"/>
        <w:ind w:left="360"/>
      </w:pPr>
      <w:r>
        <w:t xml:space="preserve">RC-037 = </w:t>
      </w:r>
      <w:r>
        <w:rPr>
          <w:b/>
        </w:rPr>
        <w:t>Brahma (Brajna)</w:t>
      </w:r>
      <w:r>
        <w:t xml:space="preserve"> — verificado, confiança alta, 10+ fontes.</w:t>
      </w:r>
    </w:p>
    <w:p>
      <w:pPr>
        <w:pStyle w:val="ListBullet"/>
        <w:ind w:left="360"/>
      </w:pPr>
      <w:r>
        <w:t xml:space="preserve">Quarentena Terminológica (fichas RC-826 a RC-833): </w:t>
      </w:r>
      <w:r>
        <w:rPr>
          <w:rFonts w:ascii="Consolas" w:hAnsi="Consolas"/>
          <w:sz w:val="20"/>
        </w:rPr>
        <w:t>NUNCA "Brama"</w:t>
      </w:r>
      <w:r>
        <w:t xml:space="preserve">. A varredura de 31/08/2026 corrigiu </w:t>
      </w:r>
      <w:r>
        <w:rPr>
          <w:b/>
        </w:rPr>
        <w:t>158 ocorrências</w:t>
      </w:r>
      <w:r>
        <w:t xml:space="preserve"> na própria KB.</w:t>
      </w:r>
    </w:p>
    <w:p>
      <w:pPr>
        <w:pStyle w:val="ListBullet"/>
        <w:ind w:left="360"/>
      </w:pPr>
      <w:r>
        <w:t xml:space="preserve">RC-836/RC-837 confirmam as grafias canônicas Awayen, </w:t>
      </w:r>
      <w:r>
        <w:rPr>
          <w:b/>
        </w:rPr>
        <w:t>Brahma</w:t>
      </w:r>
      <w:r>
        <w:t>, Javé, Vishnu, Shiva, Projeto Talm, Val Tam.</w:t>
      </w:r>
    </w:p>
    <w:p>
      <w:pPr>
        <w:pStyle w:val="ListBullet"/>
        <w:ind w:left="360"/>
      </w:pPr>
      <w:r>
        <w:rPr>
          <w:b/>
        </w:rPr>
        <w:t>Resíduo:</w:t>
      </w:r>
      <w:r>
        <w:t xml:space="preserve"> RC-781 ainda se chama "Pactos de Javé (</w:t>
      </w:r>
      <w:r>
        <w:rPr>
          <w:b/>
        </w:rPr>
        <w:t>Brama</w:t>
      </w:r>
      <w:r>
        <w:t xml:space="preserve"> / Vishnu / Shiva)" — viola a Quarentena no próprio nome.</w:t>
      </w:r>
    </w:p>
    <w:p>
      <w:pPr>
        <w:jc w:val="both"/>
      </w:pPr>
      <w:r>
        <w:rPr>
          <w:b/>
        </w:rPr>
        <w:t>Decisão:</w:t>
      </w:r>
      <w:r>
        <w:t xml:space="preserve"> canônico = </w:t>
      </w:r>
      <w:r>
        <w:rPr>
          <w:b/>
        </w:rPr>
        <w:t>Brahma</w:t>
      </w:r>
      <w:r>
        <w:t>; "Brama" é corruptela proibida.</w:t>
      </w:r>
    </w:p>
    <w:p>
      <w:pPr>
        <w:jc w:val="both"/>
      </w:pPr>
      <w:r>
        <w:rPr>
          <w:b/>
        </w:rPr>
        <w:t>Aplicação:</w:t>
      </w:r>
      <w:r>
        <w:t xml:space="preserve"> as 8 ocorrências de "Brama" e as 2 de "para Brama" desta transcrição entram na fila de correção como regra de classe </w:t>
      </w:r>
      <w:r>
        <w:rPr>
          <w:rFonts w:ascii="Consolas" w:hAnsi="Consolas"/>
          <w:sz w:val="20"/>
        </w:rPr>
        <w:t>nunca</w:t>
      </w:r>
      <w:r>
        <w:t xml:space="preserve"> (confiança de mapeamento alta). Ver §3.8 sobre a dupla candidatura de "para Brama".</w:t>
      </w:r>
    </w:p>
    <w:p>
      <w:pPr>
        <w:jc w:val="both"/>
      </w:pPr>
      <w:r>
        <w:rPr>
          <w:b/>
        </w:rPr>
        <w:t>Pendência:</w:t>
      </w:r>
      <w:r>
        <w:t xml:space="preserve"> corrigir o nome de RC-781 para "Pactos de Javé (Brahma / Vishnu / Shiva)".</w:t>
      </w:r>
    </w:p>
    <w:p>
      <w:pPr>
        <w:spacing w:before="200"/>
      </w:pPr>
      <w:r>
        <w:rPr>
          <w:b/>
          <w:color w:val="1F3B57"/>
          <w:sz w:val="22"/>
        </w:rPr>
        <w:t>3.4 Conflito 4 — Jeane Miranda</w:t>
      </w:r>
    </w:p>
    <w:p>
      <w:pPr>
        <w:jc w:val="both"/>
      </w:pPr>
      <w:r>
        <w:rPr>
          <w:b/>
        </w:rPr>
        <w:t>O que o Guia v1 diz (§5.1):</w:t>
      </w:r>
      <w:r>
        <w:t xml:space="preserve"> "Jane Miranda, Jeanne Miranda → </w:t>
      </w:r>
      <w:r>
        <w:rPr>
          <w:b/>
        </w:rPr>
        <w:t>Jeane Miranda</w:t>
      </w:r>
      <w:r>
        <w:t xml:space="preserve"> | Grafia nominal canônica confirmada."</w:t>
      </w:r>
    </w:p>
    <w:p>
      <w:pPr>
        <w:jc w:val="both"/>
      </w:pPr>
      <w:r>
        <w:rPr>
          <w:b/>
        </w:rPr>
        <w:t>O que a KB diz:</w:t>
      </w:r>
      <w:r>
        <w:t xml:space="preserve"> Jeane Miranda é mencionada em </w:t>
      </w:r>
      <w:r>
        <w:rPr>
          <w:b/>
        </w:rPr>
        <w:t>10 fichas</w:t>
      </w:r>
      <w:r>
        <w:t xml:space="preserve"> (psicógrafa associada a "Os Livros de Yel Luzbel"; uma ficha a compara ao "Processador Val", RC-089; outra fala em "versão paralela"). </w:t>
      </w:r>
      <w:r>
        <w:rPr>
          <w:b/>
        </w:rPr>
        <w:t>Não existe ficha própria</w:t>
      </w:r>
      <w:r>
        <w:t xml:space="preserve"> para ela — nem em </w:t>
      </w:r>
      <w:r>
        <w:rPr>
          <w:rFonts w:ascii="Consolas" w:hAnsi="Consolas"/>
          <w:sz w:val="20"/>
        </w:rPr>
        <w:t>KB-RC/termos/</w:t>
      </w:r>
      <w:r>
        <w:t xml:space="preserve">, nem em </w:t>
      </w:r>
      <w:r>
        <w:rPr>
          <w:rFonts w:ascii="Consolas" w:hAnsi="Consolas"/>
          <w:sz w:val="20"/>
        </w:rPr>
        <w:t>canonico.json</w:t>
      </w:r>
      <w:r>
        <w:t>.</w:t>
      </w:r>
    </w:p>
    <w:p>
      <w:pPr>
        <w:jc w:val="both"/>
      </w:pPr>
      <w:r>
        <w:rPr>
          <w:b/>
        </w:rPr>
        <w:t>Decisão:</w:t>
      </w:r>
      <w:r>
        <w:t xml:space="preserve"> não há conflito de grafia (o Guia v1 está certo). Há </w:t>
      </w:r>
      <w:r>
        <w:rPr>
          <w:b/>
        </w:rPr>
        <w:t>lacuna de registro</w:t>
      </w:r>
      <w:r>
        <w:t>: uma pessoa real, citada em dez fichas, sem verbete.</w:t>
      </w:r>
    </w:p>
    <w:p>
      <w:pPr>
        <w:jc w:val="both"/>
      </w:pPr>
      <w:r>
        <w:rPr>
          <w:b/>
        </w:rPr>
        <w:t>Aplicação:</w:t>
      </w:r>
      <w:r>
        <w:t xml:space="preserve"> a grafia "Jeane Miranda" é mantida e protegida; as formas "Jane Miranda" e "Jeanne Miranda" continuam na camada de sementes.</w:t>
      </w:r>
    </w:p>
    <w:p>
      <w:pPr>
        <w:jc w:val="both"/>
      </w:pPr>
      <w:r>
        <w:rPr>
          <w:b/>
        </w:rPr>
        <w:t>Ação proposta:</w:t>
      </w:r>
      <w:r>
        <w:t xml:space="preserve"> criar ficha na categoria </w:t>
      </w:r>
      <w:r>
        <w:rPr>
          <w:b/>
        </w:rPr>
        <w:t>1.6 (Figuras humanas)</w:t>
      </w:r>
      <w:r>
        <w:t xml:space="preserve"> com status inicial "identificada", fontes = as 10 fichas que a citam, e relação </w:t>
      </w:r>
      <w:r>
        <w:rPr>
          <w:rFonts w:ascii="Consolas" w:hAnsi="Consolas"/>
          <w:sz w:val="20"/>
        </w:rPr>
        <w:t>proferida-por</w:t>
      </w:r>
      <w:r>
        <w:t>/</w:t>
      </w:r>
      <w:r>
        <w:rPr>
          <w:rFonts w:ascii="Consolas" w:hAnsi="Consolas"/>
          <w:sz w:val="20"/>
        </w:rPr>
        <w:t>recebido-por</w:t>
      </w:r>
      <w:r>
        <w:t xml:space="preserve"> com os livros de Yel Luzbel.</w:t>
      </w:r>
    </w:p>
    <w:p>
      <w:pPr>
        <w:spacing w:before="200"/>
      </w:pPr>
      <w:r>
        <w:rPr>
          <w:b/>
          <w:color w:val="1F3B57"/>
          <w:sz w:val="22"/>
        </w:rPr>
        <w:t>3.5 Conflito 5 — Len Mion × Lemion</w:t>
      </w:r>
    </w:p>
    <w:p>
      <w:pPr>
        <w:jc w:val="both"/>
      </w:pPr>
      <w:r>
        <w:rPr>
          <w:b/>
        </w:rPr>
        <w:t>O que o Guia v1 diz (§5.1):</w:t>
      </w:r>
      <w:r>
        <w:t xml:space="preserve"> "Lémion, Demion → </w:t>
      </w:r>
      <w:r>
        <w:rPr>
          <w:b/>
        </w:rPr>
        <w:t>Len Mion</w:t>
      </w:r>
      <w:r>
        <w:t xml:space="preserve"> | Duas palavras individualizadas, sem acentuação gráfica."</w:t>
      </w:r>
    </w:p>
    <w:p>
      <w:pPr>
        <w:jc w:val="both"/>
      </w:pPr>
      <w:r>
        <w:rPr>
          <w:b/>
        </w:rPr>
        <w:t>O que a KB diz:</w:t>
      </w:r>
    </w:p>
    <w:p>
      <w:pPr>
        <w:pStyle w:val="ListBullet"/>
        <w:ind w:left="360"/>
      </w:pPr>
      <w:r>
        <w:t xml:space="preserve">RC-074 = </w:t>
      </w:r>
      <w:r>
        <w:rPr>
          <w:b/>
        </w:rPr>
        <w:t>Len Mion (Satã)</w:t>
      </w:r>
      <w:r>
        <w:t xml:space="preserve"> — verificado, confiança alta.</w:t>
      </w:r>
    </w:p>
    <w:p>
      <w:pPr>
        <w:pStyle w:val="ListBullet"/>
        <w:ind w:left="360"/>
      </w:pPr>
      <w:r>
        <w:t xml:space="preserve">A própria ficha RC-074 usa as duas grafias: </w:t>
      </w:r>
      <w:r>
        <w:rPr>
          <w:b/>
        </w:rPr>
        <w:t>"Len Mion" 35 vezes, "Lemion" 24 vezes</w:t>
      </w:r>
      <w:r>
        <w:t xml:space="preserve"> — quase sempre dentro de citações literais da fala.</w:t>
      </w:r>
    </w:p>
    <w:p>
      <w:pPr>
        <w:pStyle w:val="ListBullet"/>
        <w:ind w:left="360"/>
      </w:pPr>
      <w:r>
        <w:t xml:space="preserve">Linha 87 da ficha resolve a questão de forma explícita: </w:t>
      </w:r>
      <w:r>
        <w:rPr>
          <w:i/>
        </w:rPr>
        <w:t>"</w:t>
      </w:r>
      <w:r>
        <w:rPr>
          <w:i/>
        </w:rPr>
        <w:t>[Lemion = Len Mion (Satã)] (U0084)</w:t>
      </w:r>
      <w:r>
        <w:rPr>
          <w:i/>
        </w:rPr>
        <w:t xml:space="preserve"> «E Lemon fixou os olhos em um dos milhões que estavam vivendo aqui.» — </w:t>
      </w:r>
      <w:r>
        <w:rPr>
          <w:i/>
        </w:rPr>
        <w:t>'Lemion/Lemon/Lemior' é grafia STT de Len Mion (Satã, RC-074)</w:t>
      </w:r>
      <w:r>
        <w:rPr>
          <w:i/>
        </w:rPr>
        <w:t>"</w:t>
      </w:r>
      <w:r>
        <w:t>.</w:t>
      </w:r>
    </w:p>
    <w:p>
      <w:pPr>
        <w:pStyle w:val="ListBullet"/>
        <w:ind w:left="360"/>
      </w:pPr>
      <w:r>
        <w:t xml:space="preserve">Linha 93 acrescenta mais uma forma: </w:t>
      </w:r>
      <w:r>
        <w:rPr>
          <w:i/>
        </w:rPr>
        <w:t xml:space="preserve">"o palestrante avalia Len Mion (STT </w:t>
      </w:r>
      <w:r>
        <w:rPr>
          <w:i/>
        </w:rPr>
        <w:t>'Nemon'</w:t>
      </w:r>
      <w:r>
        <w:rPr>
          <w:i/>
        </w:rPr>
        <w:t>) como 'alguém muito pior do que Javé'"</w:t>
      </w:r>
      <w:r>
        <w:t>.</w:t>
      </w:r>
    </w:p>
    <w:p>
      <w:pPr>
        <w:pStyle w:val="ListBullet"/>
        <w:ind w:left="360"/>
      </w:pPr>
      <w:r>
        <w:t xml:space="preserve">RC-850 ("Alexandre Magno (tirano sob influência de </w:t>
      </w:r>
      <w:r>
        <w:rPr>
          <w:b/>
        </w:rPr>
        <w:t>Lemion</w:t>
      </w:r>
      <w:r>
        <w:t xml:space="preserve">)") e RC-851 ("Qin Shi Huang Di (imperador chinês sob influência de </w:t>
      </w:r>
      <w:r>
        <w:rPr>
          <w:b/>
        </w:rPr>
        <w:t>Lemion</w:t>
      </w:r>
      <w:r>
        <w:t xml:space="preserve">)") trazem a corruptela </w:t>
      </w:r>
      <w:r>
        <w:rPr>
          <w:b/>
        </w:rPr>
        <w:t>no próprio nome e no nome do arquivo</w:t>
      </w:r>
      <w:r>
        <w:t>.</w:t>
      </w:r>
    </w:p>
    <w:p>
      <w:pPr>
        <w:jc w:val="both"/>
      </w:pPr>
      <w:r>
        <w:rPr>
          <w:b/>
        </w:rPr>
        <w:t>Decisão:</w:t>
      </w:r>
      <w:r>
        <w:t xml:space="preserve"> canônico = </w:t>
      </w:r>
      <w:r>
        <w:rPr>
          <w:b/>
        </w:rPr>
        <w:t>Len Mion</w:t>
      </w:r>
      <w:r>
        <w:t xml:space="preserve">. Variantes STT documentadas = </w:t>
      </w:r>
      <w:r>
        <w:rPr>
          <w:b/>
        </w:rPr>
        <w:t>Lemion, Lemon, Lemior, Nemon, Lémion, Demion</w:t>
      </w:r>
      <w:r>
        <w:t xml:space="preserve"> (as duas últimas herdadas do Guia v1).</w:t>
      </w:r>
    </w:p>
    <w:p>
      <w:pPr>
        <w:jc w:val="both"/>
      </w:pPr>
      <w:r>
        <w:rPr>
          <w:b/>
        </w:rPr>
        <w:t>Aplicação:</w:t>
      </w:r>
      <w:r>
        <w:t xml:space="preserve"> a lista de sementes passa de 2 para 6 formas. Citações literais entre aspas </w:t>
      </w:r>
      <w:r>
        <w:rPr>
          <w:b/>
        </w:rPr>
        <w:t>não</w:t>
      </w:r>
      <w:r>
        <w:t xml:space="preserve"> são alteradas.</w:t>
      </w:r>
    </w:p>
    <w:p>
      <w:pPr>
        <w:jc w:val="both"/>
      </w:pPr>
      <w:r>
        <w:rPr>
          <w:b/>
        </w:rPr>
        <w:t>Pendências:</w:t>
      </w:r>
      <w:r>
        <w:t xml:space="preserve"> (a) RC-850 e RC-851 deveriam renomear o campo </w:t>
      </w:r>
      <w:r>
        <w:rPr>
          <w:rFonts w:ascii="Consolas" w:hAnsi="Consolas"/>
          <w:sz w:val="20"/>
        </w:rPr>
        <w:t>nome</w:t>
      </w:r>
      <w:r>
        <w:t xml:space="preserve"> para "…sob influência de Len Mion" e manter "Lemion" como variante; (b) a ficha RC-074 carrega nota de revisão pendente (</w:t>
      </w:r>
      <w:r>
        <w:rPr>
          <w:rFonts w:ascii="Consolas" w:hAnsi="Consolas"/>
          <w:sz w:val="20"/>
        </w:rPr>
        <w:t>CHANCELA 2026-09-06 · F042-VARREDURA: ISOLAMENTO</w:t>
      </w:r>
      <w:r>
        <w:t>) que o curador deve fechar.</w:t>
      </w:r>
    </w:p>
    <w:p>
      <w:pPr>
        <w:spacing w:before="200"/>
      </w:pPr>
      <w:r>
        <w:rPr>
          <w:b/>
          <w:color w:val="1F3B57"/>
          <w:sz w:val="22"/>
        </w:rPr>
        <w:t>3.6 Conflito 6 — radiato × radiata × radiatas</w:t>
      </w:r>
    </w:p>
    <w:p>
      <w:pPr>
        <w:jc w:val="both"/>
      </w:pPr>
      <w:r>
        <w:rPr>
          <w:b/>
        </w:rPr>
        <w:t>O que o Guia v1 diz (§5.3):</w:t>
      </w:r>
      <w:r>
        <w:t xml:space="preserve"> lista "radiato/radiata" como par a resolver pela coluna </w:t>
      </w:r>
      <w:r>
        <w:rPr>
          <w:rFonts w:ascii="Consolas" w:hAnsi="Consolas"/>
          <w:sz w:val="20"/>
        </w:rPr>
        <w:t>etimologia_grafias</w:t>
      </w:r>
      <w:r>
        <w:t>, sem decidir.</w:t>
      </w:r>
    </w:p>
    <w:p>
      <w:pPr>
        <w:jc w:val="both"/>
      </w:pPr>
      <w:r>
        <w:rPr>
          <w:b/>
        </w:rPr>
        <w:t>O que a KB diz:</w:t>
      </w:r>
    </w:p>
    <w:p>
      <w:pPr>
        <w:pStyle w:val="ListBullet"/>
        <w:ind w:left="360"/>
      </w:pPr>
      <w:r>
        <w:t xml:space="preserve">RC-631 = </w:t>
      </w:r>
      <w:r>
        <w:rPr>
          <w:b/>
        </w:rPr>
        <w:t>Cérebro Radiata</w:t>
      </w:r>
      <w:r>
        <w:t xml:space="preserve"> (verificado, confiança média).</w:t>
      </w:r>
    </w:p>
    <w:p>
      <w:pPr>
        <w:pStyle w:val="ListBullet"/>
        <w:ind w:left="360"/>
      </w:pPr>
      <w:r>
        <w:t xml:space="preserve">RC-093 = </w:t>
      </w:r>
      <w:r>
        <w:rPr>
          <w:b/>
        </w:rPr>
        <w:t>Radiatas</w:t>
      </w:r>
      <w:r>
        <w:t xml:space="preserve"> (categoria 1.7 Híbridos / Seres de transição; em análise, confiança baixa).</w:t>
      </w:r>
    </w:p>
    <w:p>
      <w:pPr>
        <w:pStyle w:val="ListBullet"/>
        <w:ind w:left="360"/>
      </w:pPr>
      <w:r>
        <w:t xml:space="preserve">RC-834: "Sofia: criada do genoma de Virgno, </w:t>
      </w:r>
      <w:r>
        <w:rPr>
          <w:b/>
        </w:rPr>
        <w:t>mente radiata</w:t>
      </w:r>
      <w:r>
        <w:t>, anjos incorruptíveis".</w:t>
      </w:r>
    </w:p>
    <w:p>
      <w:pPr>
        <w:pStyle w:val="ListBullet"/>
        <w:ind w:left="360"/>
      </w:pPr>
      <w:r>
        <w:t xml:space="preserve">Contagem bruta na KB: </w:t>
      </w:r>
      <w:r>
        <w:rPr>
          <w:i/>
        </w:rPr>
        <w:t>radiata</w:t>
      </w:r>
      <w:r>
        <w:t xml:space="preserve"> 84, </w:t>
      </w:r>
      <w:r>
        <w:rPr>
          <w:i/>
        </w:rPr>
        <w:t>radiatas</w:t>
      </w:r>
      <w:r>
        <w:t xml:space="preserve"> 27, </w:t>
      </w:r>
      <w:r>
        <w:rPr>
          <w:i/>
        </w:rPr>
        <w:t>radiato</w:t>
      </w:r>
      <w:r>
        <w:t xml:space="preserve"> 15 — mas as 15 de "radiato" estão em </w:t>
      </w:r>
      <w:r>
        <w:rPr>
          <w:b/>
        </w:rPr>
        <w:t>citações literais</w:t>
      </w:r>
      <w:r>
        <w:t xml:space="preserve"> (RC-009, RC-565) e em </w:t>
      </w:r>
      <w:r>
        <w:rPr>
          <w:b/>
        </w:rPr>
        <w:t>títulos curatoriais de citação</w:t>
      </w:r>
      <w:r>
        <w:t xml:space="preserve"> (RC-631 linha 75: "[O radiato superado pelos bilatérios]" citando «cérebro </w:t>
      </w:r>
      <w:r>
        <w:rPr>
          <w:b/>
        </w:rPr>
        <w:t>radiata</w:t>
      </w:r>
      <w:r>
        <w:t xml:space="preserve"> de Sofia»), além de RC-771 (campo Quarentena de cautela editorial).</w:t>
      </w:r>
    </w:p>
    <w:p>
      <w:pPr>
        <w:jc w:val="both"/>
      </w:pPr>
      <w:r>
        <w:rPr>
          <w:b/>
        </w:rPr>
        <w:t>Decisão:</w:t>
      </w:r>
      <w:r>
        <w:t xml:space="preserve"> canônico = </w:t>
      </w:r>
      <w:r>
        <w:rPr>
          <w:b/>
        </w:rPr>
        <w:t>radiata / radiatas</w:t>
      </w:r>
      <w:r>
        <w:t xml:space="preserve"> (feminino, concordando com "mente radiata", "cérebro radiata"). "radiato" é forma STT/curational a sanear.</w:t>
      </w:r>
    </w:p>
    <w:p>
      <w:pPr>
        <w:jc w:val="both"/>
      </w:pPr>
      <w:r>
        <w:rPr>
          <w:b/>
        </w:rPr>
        <w:t>Aplicação:</w:t>
      </w:r>
      <w:r>
        <w:t xml:space="preserve"> "radiato" entra como variante STT de RC-631/RC-093. Nesta transcrição não há ocorrência de nenhuma das formas — decisão preventiva.</w:t>
      </w:r>
    </w:p>
    <w:p>
      <w:pPr>
        <w:jc w:val="both"/>
      </w:pPr>
      <w:r>
        <w:rPr>
          <w:b/>
        </w:rPr>
        <w:t>Pendência:</w:t>
      </w:r>
      <w:r>
        <w:t xml:space="preserve"> revisar os títulos curatoriais que grafam "radiato" (RC-631 l.75, RC-009 l.424, RC-565 l.48) sem tocar nas citações entre aspas.</w:t>
      </w:r>
    </w:p>
    <w:p>
      <w:pPr>
        <w:spacing w:before="200"/>
      </w:pPr>
      <w:r>
        <w:rPr>
          <w:b/>
          <w:color w:val="1F3B57"/>
          <w:sz w:val="22"/>
        </w:rPr>
        <w:t>3.7 Conflito 7 — elogismo → ilogismo</w:t>
      </w:r>
    </w:p>
    <w:p>
      <w:pPr>
        <w:jc w:val="both"/>
      </w:pPr>
      <w:r>
        <w:rPr>
          <w:b/>
        </w:rPr>
        <w:t>O que o Guia v1 diz (§5.4, tabela de erros brutos):</w:t>
      </w:r>
      <w:r>
        <w:t xml:space="preserve"> "elogismo → </w:t>
      </w:r>
      <w:r>
        <w:rPr>
          <w:b/>
        </w:rPr>
        <w:t>ilogismo</w:t>
      </w:r>
      <w:r>
        <w:t xml:space="preserve"> | Correção conceitual de vício de raciocínio."</w:t>
      </w:r>
    </w:p>
    <w:p>
      <w:pPr>
        <w:jc w:val="both"/>
      </w:pPr>
      <w:r>
        <w:rPr>
          <w:b/>
        </w:rPr>
        <w:t>O que a KB diz:</w:t>
      </w:r>
      <w:r>
        <w:t xml:space="preserve"> nada. "ilogismo" </w:t>
      </w:r>
      <w:r>
        <w:rPr>
          <w:b/>
        </w:rPr>
        <w:t>não existe</w:t>
      </w:r>
      <w:r>
        <w:t xml:space="preserve"> como termo, variante ou grafia em </w:t>
      </w:r>
      <w:r>
        <w:rPr>
          <w:rFonts w:ascii="Consolas" w:hAnsi="Consolas"/>
          <w:sz w:val="20"/>
        </w:rPr>
        <w:t>canonico.json</w:t>
      </w:r>
      <w:r>
        <w:t xml:space="preserve">, </w:t>
      </w:r>
      <w:r>
        <w:rPr>
          <w:rFonts w:ascii="Consolas" w:hAnsi="Consolas"/>
          <w:sz w:val="20"/>
        </w:rPr>
        <w:t>biblio.json</w:t>
      </w:r>
      <w:r>
        <w:t xml:space="preserve"> ou nas 820 fichas. A única correspondência textual encontrada é a palavra </w:t>
      </w:r>
      <w:r>
        <w:rPr>
          <w:b/>
        </w:rPr>
        <w:t>silogismo</w:t>
      </w:r>
      <w:r>
        <w:t xml:space="preserve"> ("não há silogismo possível"), em RC-009. "elogismo" também não existe.</w:t>
      </w:r>
    </w:p>
    <w:p>
      <w:pPr>
        <w:jc w:val="both"/>
      </w:pPr>
      <w:r>
        <w:rPr>
          <w:b/>
        </w:rPr>
        <w:t>Decisão:</w:t>
      </w:r>
      <w:r>
        <w:t xml:space="preserve"> </w:t>
      </w:r>
      <w:r>
        <w:rPr>
          <w:b/>
        </w:rPr>
        <w:t>descartar a regra.</w:t>
      </w:r>
      <w:r>
        <w:t xml:space="preserve"> "Ilogismo" não é palavra portuguesa dicionarizada nem termo da Revelação Cósmica; a regra produzia uma correção que transformaria texto comum em neologismo inexistente.</w:t>
      </w:r>
    </w:p>
    <w:p>
      <w:pPr>
        <w:jc w:val="both"/>
      </w:pPr>
      <w:r>
        <w:rPr>
          <w:b/>
        </w:rPr>
        <w:t>Aplicação:</w:t>
      </w:r>
      <w:r>
        <w:t xml:space="preserve"> linha removida do dicionário de sementes. Se a forma aparecer em alguma transcrição futura, o procedimento é marcar </w:t>
      </w:r>
      <w:r>
        <w:rPr>
          <w:rFonts w:ascii="Consolas" w:hAnsi="Consolas"/>
          <w:sz w:val="20"/>
        </w:rPr>
        <w:t>[A CONFIRMAR]</w:t>
      </w:r>
      <w:r>
        <w:t xml:space="preserve"> e ouvir o áudio — não substituir.</w:t>
      </w:r>
    </w:p>
    <w:p>
      <w:pPr>
        <w:jc w:val="both"/>
      </w:pPr>
      <w:r>
        <w:rPr>
          <w:b/>
        </w:rPr>
        <w:t>Efeito nesta transcrição:</w:t>
      </w:r>
      <w:r>
        <w:t xml:space="preserve"> nenhum (0 ocorrências das duas formas).</w:t>
      </w:r>
    </w:p>
    <w:p>
      <w:pPr>
        <w:spacing w:before="200"/>
      </w:pPr>
      <w:r>
        <w:rPr>
          <w:b/>
          <w:color w:val="1F3B57"/>
          <w:sz w:val="22"/>
        </w:rPr>
        <w:t>3.8 Conflito 8 — Duplicatas e remissões</w:t>
      </w:r>
    </w:p>
    <w:p>
      <w:pPr>
        <w:jc w:val="both"/>
      </w:pPr>
      <w:r>
        <w:t>Levantamento completo feito ficha a ficha: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Canônico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Duplicata/remissão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Situação real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Providência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RC-898 Choque de Realidade (verificado, média)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RC-936 "Choque de realidade" (provisório)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REMISSIVA declarada na ficha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manter RC-898; RC-936 é histórico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RC-898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RC-867 "Choque de Realidade (o perpétuo espanto dos donos da verdade)" (candidato, baixa)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verbete paralelo sem ficha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fundir em RC-898 ou criar remissão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RC-164 Criaturas-ferramenta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RC-449 (mesmo nome, verificado, alta)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REMISSIVA — "duplicata absorvida por RC-164 [F045-MERGE 07-09-2026]"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nada a fazer além de expor no 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RC-115 Val Aten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RC-502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RC-149 Mônada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RC-937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RC-581 Rakshasas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RC-872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REMISSIVA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RC-043 Conselho dos Cinco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RC-501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RC-314 Fenômenos Denunciadores do Fim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RC-203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RC-769 Corpos Fenva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REMISSIVA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registrar alvo no 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RC-305 Têmis × RC-815 "Temis (Têmis) como Mãe-de-Pandora (Co-clonadora)"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não é duplicata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RC-815 é um aspecto/tese distinta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manter ambos; uniformizar "Temis" → "Têmis" no nome de RC-815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RC-063 × RC-332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não é duplicata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verbetes complementares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manter</w:t>
            </w:r>
          </w:p>
        </w:tc>
      </w:tr>
    </w:tbl>
    <w:p/>
    <w:p>
      <w:pPr>
        <w:jc w:val="both"/>
      </w:pPr>
      <w:r>
        <w:rPr>
          <w:b/>
        </w:rPr>
        <w:t>Decisão:</w:t>
      </w:r>
      <w:r>
        <w:t xml:space="preserve"> apenas </w:t>
      </w:r>
      <w:r>
        <w:rPr>
          <w:b/>
        </w:rPr>
        <w:t>4 fichas</w:t>
      </w:r>
      <w:r>
        <w:t xml:space="preserve"> são formalmente remissivas (RC-449, RC-769, RC-872, RC-936). Os demais casos são remissões implícitas na prosa. Dois pares que pareciam duplicados (RC-305/RC-815 e RC-063/RC-332) </w:t>
      </w:r>
      <w:r>
        <w:rPr>
          <w:b/>
        </w:rPr>
        <w:t>não são</w:t>
      </w:r>
      <w:r>
        <w:t>.</w:t>
      </w:r>
    </w:p>
    <w:p>
      <w:pPr>
        <w:jc w:val="both"/>
      </w:pPr>
      <w:r>
        <w:rPr>
          <w:b/>
        </w:rPr>
        <w:t>Problema estrutural:</w:t>
      </w:r>
      <w:r>
        <w:t xml:space="preserve"> </w:t>
      </w:r>
      <w:r>
        <w:rPr>
          <w:rFonts w:ascii="Consolas" w:hAnsi="Consolas"/>
          <w:sz w:val="20"/>
        </w:rPr>
        <w:t>canonico.json</w:t>
      </w:r>
      <w:r>
        <w:t xml:space="preserve"> traz apenas 3 menções a remissão em 946 termos, e RC-449 aparece no JSON com o </w:t>
      </w:r>
      <w:r>
        <w:rPr>
          <w:b/>
        </w:rPr>
        <w:t>mesmo nome e o mesmo status</w:t>
      </w:r>
      <w:r>
        <w:t xml:space="preserve"> do canônico RC-164. Qualquer ferramenta que leia só o JSON trata duplicata absorvida como termo vivo.</w:t>
      </w:r>
    </w:p>
    <w:p>
      <w:pPr>
        <w:jc w:val="both"/>
      </w:pPr>
      <w:r>
        <w:rPr>
          <w:b/>
        </w:rPr>
        <w:t>Ação proposta:</w:t>
      </w:r>
      <w:r>
        <w:t xml:space="preserve"> acrescentar ao formato canonico o campo </w:t>
      </w:r>
      <w:r>
        <w:rPr>
          <w:rFonts w:ascii="Consolas" w:hAnsi="Consolas"/>
          <w:sz w:val="20"/>
        </w:rPr>
        <w:t>remissiva_para</w:t>
      </w:r>
      <w:r>
        <w:t xml:space="preserve"> (código) e </w:t>
      </w:r>
      <w:r>
        <w:rPr>
          <w:rFonts w:ascii="Consolas" w:hAnsi="Consolas"/>
          <w:sz w:val="20"/>
        </w:rPr>
        <w:t>status: "remissão"</w:t>
      </w:r>
      <w:r>
        <w:t xml:space="preserve">, e regerar o JSON. Enquanto isso não ocorre, o pipeline usa as fichas (que declaram </w:t>
      </w:r>
      <w:r>
        <w:rPr>
          <w:rFonts w:ascii="Consolas" w:hAnsi="Consolas"/>
          <w:sz w:val="20"/>
        </w:rPr>
        <w:t>REMISSIVA</w:t>
      </w:r>
      <w:r>
        <w:t>) e não o JSON para decidir duplicatas.</w:t>
      </w:r>
    </w:p>
    <w:p>
      <w:pPr>
        <w:spacing w:before="200"/>
      </w:pPr>
      <w:r>
        <w:rPr>
          <w:b/>
          <w:color w:val="1F3B57"/>
          <w:sz w:val="24"/>
        </w:rPr>
        <w:t>4. Achados adicionais (não constavam dos oito conflitos)</w:t>
      </w:r>
    </w:p>
    <w:p>
      <w:pPr>
        <w:jc w:val="both"/>
      </w:pPr>
      <w:r>
        <w:t>Descobertos durante a verificação de evidência. Todos afetam o pipeline.</w:t>
      </w:r>
    </w:p>
    <w:p>
      <w:pPr>
        <w:spacing w:before="200"/>
      </w:pPr>
      <w:r>
        <w:rPr>
          <w:b/>
          <w:color w:val="1F3B57"/>
          <w:sz w:val="22"/>
        </w:rPr>
        <w:t>4.1 RC-781 viola a Quarentena e tem referências cruzadas erradas</w:t>
      </w:r>
    </w:p>
    <w:p>
      <w:pPr>
        <w:jc w:val="both"/>
      </w:pPr>
      <w:r>
        <w:t>Nome atual: "Pactos de Javé (</w:t>
      </w:r>
      <w:r>
        <w:rPr>
          <w:b/>
        </w:rPr>
        <w:t>Brama</w:t>
      </w:r>
      <w:r>
        <w:t xml:space="preserve"> / Vishnu / Shiva)". Além da grafia proibida, a ficha afirma que Vishnu/Krishna = RC-102 e Shiva = RC-148; na verdade </w:t>
      </w:r>
      <w:r>
        <w:rPr>
          <w:b/>
        </w:rPr>
        <w:t>RC-102 = Shiva</w:t>
      </w:r>
      <w:r>
        <w:t xml:space="preserve"> e </w:t>
      </w:r>
      <w:r>
        <w:rPr>
          <w:b/>
        </w:rPr>
        <w:t>RC-148 = Agentes da Vida Universal</w:t>
      </w:r>
      <w:r>
        <w:t>. Corrigir nome e cross-refs.</w:t>
      </w:r>
    </w:p>
    <w:p>
      <w:pPr>
        <w:spacing w:before="200"/>
      </w:pPr>
      <w:r>
        <w:rPr>
          <w:b/>
          <w:color w:val="1F3B57"/>
          <w:sz w:val="22"/>
        </w:rPr>
        <w:t>4.2 RC-142 (Yel Luzbel) está incompleta</w:t>
      </w:r>
    </w:p>
    <w:p>
      <w:pPr>
        <w:jc w:val="both"/>
      </w:pPr>
      <w:r>
        <w:t>Termo verificado, confiança alta, central para a Quarentena (</w:t>
      </w:r>
      <w:r>
        <w:rPr>
          <w:rFonts w:ascii="Consolas" w:hAnsi="Consolas"/>
          <w:sz w:val="20"/>
        </w:rPr>
        <w:t>NUNCA "Luzbel" sozinho</w:t>
      </w:r>
      <w:r>
        <w:t xml:space="preserve">, </w:t>
      </w:r>
      <w:r>
        <w:rPr>
          <w:rFonts w:ascii="Consolas" w:hAnsi="Consolas"/>
          <w:sz w:val="20"/>
        </w:rPr>
        <w:t>NUNCA "Yosbel"</w:t>
      </w:r>
      <w:r>
        <w:t xml:space="preserve">), mas a ficha </w:t>
      </w:r>
      <w:r>
        <w:rPr>
          <w:b/>
        </w:rPr>
        <w:t>não tem Definição Sintética nem Etimologia e Grafias</w:t>
      </w:r>
      <w:r>
        <w:t>. É a ficha que mais precisa de complementação.</w:t>
      </w:r>
    </w:p>
    <w:p>
      <w:pPr>
        <w:spacing w:before="200"/>
      </w:pPr>
      <w:r>
        <w:rPr>
          <w:b/>
          <w:color w:val="1F3B57"/>
          <w:sz w:val="22"/>
        </w:rPr>
        <w:t>4.3 `biblio.json` tem 97 códigos B, não 102</w:t>
      </w:r>
    </w:p>
    <w:p>
      <w:pPr>
        <w:jc w:val="both"/>
      </w:pPr>
      <w:r>
        <w:t xml:space="preserve">Contagem real: 104 registros = </w:t>
      </w:r>
      <w:r>
        <w:rPr>
          <w:b/>
        </w:rPr>
        <w:t>97 B-codes (B001–B098, falta B095)</w:t>
      </w:r>
      <w:r>
        <w:t>, 3 ART (curadoria), 1 PER (Revista Plus Ultra), 1 EXT (Nuctemeron, fonte externa), 2 P (palestras). O Guia v1 fala em "102 obras B001-B102". Corrigir o texto do Guia e investigar B095.</w:t>
      </w:r>
    </w:p>
    <w:p>
      <w:pPr>
        <w:spacing w:before="200"/>
      </w:pPr>
      <w:r>
        <w:rPr>
          <w:b/>
          <w:color w:val="1F3B57"/>
          <w:sz w:val="22"/>
        </w:rPr>
        <w:t>4.4 "Valores Supremos da Consciência" não está na KB</w:t>
      </w:r>
    </w:p>
    <w:p>
      <w:pPr>
        <w:jc w:val="both"/>
      </w:pPr>
      <w:r>
        <w:t xml:space="preserve">Na transcrição: </w:t>
      </w:r>
      <w:r>
        <w:rPr>
          <w:i/>
        </w:rPr>
        <w:t>"eu tenho um programa no YouTube chamado Valores Supremos da Consciência"</w:t>
      </w:r>
      <w:r>
        <w:t xml:space="preserve">. Não é livro: é </w:t>
      </w:r>
      <w:r>
        <w:rPr>
          <w:b/>
        </w:rPr>
        <w:t>programa/série do autor no YouTube</w:t>
      </w:r>
      <w:r>
        <w:t xml:space="preserve">, ausente de </w:t>
      </w:r>
      <w:r>
        <w:rPr>
          <w:rFonts w:ascii="Consolas" w:hAnsi="Consolas"/>
          <w:sz w:val="20"/>
        </w:rPr>
        <w:t>biblio.json</w:t>
      </w:r>
      <w:r>
        <w:t xml:space="preserve"> e de </w:t>
      </w:r>
      <w:r>
        <w:rPr>
          <w:rFonts w:ascii="Consolas" w:hAnsi="Consolas"/>
          <w:sz w:val="20"/>
        </w:rPr>
        <w:t>canonico.json</w:t>
      </w:r>
      <w:r>
        <w:t>. Proposta: novo registro bibliográfico (tipo PER/programa).</w:t>
      </w:r>
    </w:p>
    <w:p>
      <w:pPr>
        <w:spacing w:before="200"/>
      </w:pPr>
      <w:r>
        <w:rPr>
          <w:b/>
          <w:color w:val="1F3B57"/>
          <w:sz w:val="22"/>
        </w:rPr>
        <w:t>4.5 "Sherminetro" não é Terminator</w:t>
      </w:r>
    </w:p>
    <w:p>
      <w:pPr>
        <w:jc w:val="both"/>
      </w:pPr>
      <w:r>
        <w:t xml:space="preserve">Hipótese inicial descartada pelo contexto: </w:t>
      </w:r>
      <w:r>
        <w:rPr>
          <w:i/>
        </w:rPr>
        <w:t>"vamos aproveitar aqui meu querido Sherminetro para falar das mandalas arcturianas"</w:t>
      </w:r>
      <w:r>
        <w:t xml:space="preserve">. É </w:t>
      </w:r>
      <w:r>
        <w:rPr>
          <w:b/>
        </w:rPr>
        <w:t>apelido com que Jan se dirige ao apresentador</w:t>
      </w:r>
      <w:r>
        <w:t xml:space="preserve">. Registrado em </w:t>
      </w:r>
      <w:r>
        <w:rPr>
          <w:rFonts w:ascii="Consolas" w:hAnsi="Consolas"/>
          <w:sz w:val="20"/>
        </w:rPr>
        <w:t>ferramentas/externos.csv</w:t>
      </w:r>
      <w:r>
        <w:t xml:space="preserve"> como </w:t>
      </w:r>
      <w:r>
        <w:rPr>
          <w:rFonts w:ascii="Consolas" w:hAnsi="Consolas"/>
          <w:sz w:val="20"/>
        </w:rPr>
        <w:t>[A CONFIRMAR]</w:t>
      </w:r>
      <w:r>
        <w:t xml:space="preserve"> — nenhuma alteração sem confirmação do produtor.</w:t>
      </w:r>
    </w:p>
    <w:p>
      <w:pPr>
        <w:spacing w:before="200"/>
      </w:pPr>
      <w:r>
        <w:rPr>
          <w:b/>
          <w:color w:val="1F3B57"/>
          <w:sz w:val="22"/>
        </w:rPr>
        <w:t>4.6 "Nick" (Nyx, RC-621) colide com Nick Bostrom</w:t>
      </w:r>
    </w:p>
    <w:p>
      <w:pPr>
        <w:jc w:val="both"/>
      </w:pPr>
      <w:r>
        <w:t xml:space="preserve">A KB documenta "Nick" como variante STT de </w:t>
      </w:r>
      <w:r>
        <w:rPr>
          <w:b/>
        </w:rPr>
        <w:t>Nyx</w:t>
      </w:r>
      <w:r>
        <w:t xml:space="preserve">. Nesta transcrição, "Nick" é </w:t>
      </w:r>
      <w:r>
        <w:rPr>
          <w:b/>
        </w:rPr>
        <w:t>Nick Bostrom</w:t>
      </w:r>
      <w:r>
        <w:t xml:space="preserve"> (</w:t>
      </w:r>
      <w:r>
        <w:rPr>
          <w:i/>
        </w:rPr>
        <w:t>"Nick Bostron no seu livro chamado Utopia Profunda"</w:t>
      </w:r>
      <w:r>
        <w:t xml:space="preserve">). O motor agora </w:t>
      </w:r>
      <w:r>
        <w:rPr>
          <w:b/>
        </w:rPr>
        <w:t>suspende</w:t>
      </w:r>
      <w:r>
        <w:t xml:space="preserve"> a semente automaticamente (diagnóstico §3.1). Regra geral incorporada ao Guia v2: entidade da camada Externos nunca vira variante de termo interno.</w:t>
      </w:r>
    </w:p>
    <w:p>
      <w:pPr>
        <w:spacing w:before="200"/>
      </w:pPr>
      <w:r>
        <w:rPr>
          <w:b/>
          <w:color w:val="1F3B57"/>
          <w:sz w:val="22"/>
        </w:rPr>
        <w:t>4.7 "a vista" colide com Avesta (RC-595)</w:t>
      </w:r>
    </w:p>
    <w:p>
      <w:pPr>
        <w:jc w:val="both"/>
      </w:pPr>
      <w:r>
        <w:t xml:space="preserve">A KB documenta </w:t>
      </w:r>
      <w:r>
        <w:rPr>
          <w:rFonts w:ascii="Consolas" w:hAnsi="Consolas"/>
          <w:sz w:val="20"/>
        </w:rPr>
        <w:t>Avesta. STT: AESTA, a vesta</w:t>
      </w:r>
      <w:r>
        <w:t xml:space="preserve">. No texto: </w:t>
      </w:r>
      <w:r>
        <w:rPr>
          <w:i/>
        </w:rPr>
        <w:t>"se você pagar a vista você vai ter…"</w:t>
      </w:r>
      <w:r>
        <w:t xml:space="preserve"> — português comum. A forma foi para o vocabulário de guarda. Regra geral: variante STT documentada que coincide com expressão comum do português só se aplica com confirmação contextual.</w:t>
      </w:r>
    </w:p>
    <w:p>
      <w:pPr>
        <w:spacing w:before="200"/>
      </w:pPr>
      <w:r>
        <w:rPr>
          <w:b/>
          <w:color w:val="1F3B57"/>
          <w:sz w:val="22"/>
        </w:rPr>
        <w:t>4.8 "para Brama" tem dupla candidatura</w:t>
      </w:r>
    </w:p>
    <w:p>
      <w:pPr>
        <w:jc w:val="both"/>
      </w:pPr>
      <w:r>
        <w:t xml:space="preserve">O motor casou "para Brama" com a superfície </w:t>
      </w:r>
      <w:r>
        <w:rPr>
          <w:rFonts w:ascii="Consolas" w:hAnsi="Consolas"/>
          <w:sz w:val="20"/>
        </w:rPr>
        <w:t>para bragna</w:t>
      </w:r>
      <w:r>
        <w:t xml:space="preserve"> (RC-691, Ishvara), porque a ficha RC-691 cita </w:t>
      </w:r>
      <w:r>
        <w:rPr>
          <w:i/>
        </w:rPr>
        <w:t>«Desde que para Bragna fez isso»</w:t>
      </w:r>
      <w:r>
        <w:t xml:space="preserve"> = grafia STT de </w:t>
      </w:r>
      <w:r>
        <w:rPr>
          <w:b/>
        </w:rPr>
        <w:t>Para Brajna</w:t>
      </w:r>
      <w:r>
        <w:t xml:space="preserve">. No contexto real — </w:t>
      </w:r>
      <w:r>
        <w:rPr>
          <w:i/>
        </w:rPr>
        <w:t>"Krishna tomou toda a devoção que existia na Índia para Brama"</w:t>
      </w:r>
      <w:r>
        <w:t xml:space="preserve"> — a leitura correta é </w:t>
      </w:r>
      <w:r>
        <w:rPr>
          <w:b/>
        </w:rPr>
        <w:t>Brahma</w:t>
      </w:r>
      <w:r>
        <w:t xml:space="preserve"> (RC-037), dativo. Decisão: </w:t>
      </w:r>
      <w:r>
        <w:rPr>
          <w:b/>
        </w:rPr>
        <w:t>Brahma</w:t>
      </w:r>
      <w:r>
        <w:t>; o caso virou exemplo didático no Guia v2 (o motor propõe, o revisor decide).</w:t>
      </w:r>
    </w:p>
    <w:p>
      <w:pPr>
        <w:spacing w:before="200"/>
      </w:pPr>
      <w:r>
        <w:rPr>
          <w:b/>
          <w:color w:val="1F3B57"/>
          <w:sz w:val="22"/>
        </w:rPr>
        <w:t>4.9 "Virgin" é Vishnu, não Virgno</w:t>
      </w:r>
    </w:p>
    <w:p>
      <w:pPr>
        <w:jc w:val="both"/>
      </w:pPr>
      <w:r>
        <w:t xml:space="preserve">No trecho </w:t>
      </w:r>
      <w:r>
        <w:rPr>
          <w:i/>
        </w:rPr>
        <w:t>"esses seres Brama Virgin Chiva"</w:t>
      </w:r>
      <w:r>
        <w:t xml:space="preserve"> a tríade é </w:t>
      </w:r>
      <w:r>
        <w:rPr>
          <w:b/>
        </w:rPr>
        <w:t>Brahma, Vishnu, Shiva</w:t>
      </w:r>
      <w:r>
        <w:t xml:space="preserve"> (exatamente a glossa de RC-781). O motor propôs RC-104; a leitura correta vem da tríade. Registrado como caso de estudo.</w:t>
      </w:r>
    </w:p>
    <w:p>
      <w:pPr>
        <w:spacing w:before="200"/>
      </w:pPr>
      <w:r>
        <w:rPr>
          <w:b/>
          <w:color w:val="1F3B57"/>
          <w:sz w:val="22"/>
        </w:rPr>
        <w:t>4.10 O campo "Variações" mistura duas coisas diferentes</w:t>
      </w:r>
    </w:p>
    <w:p>
      <w:pPr>
        <w:jc w:val="both"/>
      </w:pPr>
      <w:r>
        <w:t xml:space="preserve">Das 1.590 relações variante→canônico extraídas da prosa das fichas, </w:t>
      </w:r>
      <w:r>
        <w:rPr>
          <w:b/>
        </w:rPr>
        <w:t>778 são equivalências conceituais</w:t>
      </w:r>
      <w:r>
        <w:t xml:space="preserve"> (ex.: Javé como variação de Criador) e não erros de grafia. Substituir automaticamente por essa classe destruiria o texto. O extrator passou a classificar cada par (</w:t>
      </w:r>
      <w:r>
        <w:rPr>
          <w:rFonts w:ascii="Consolas" w:hAnsi="Consolas"/>
          <w:sz w:val="20"/>
        </w:rPr>
        <w:t>nunca</w:t>
      </w:r>
      <w:r>
        <w:t xml:space="preserve">, </w:t>
      </w:r>
      <w:r>
        <w:rPr>
          <w:rFonts w:ascii="Consolas" w:hAnsi="Consolas"/>
          <w:sz w:val="20"/>
        </w:rPr>
        <w:t>stt</w:t>
      </w:r>
      <w:r>
        <w:t xml:space="preserve">, </w:t>
      </w:r>
      <w:r>
        <w:rPr>
          <w:rFonts w:ascii="Consolas" w:hAnsi="Consolas"/>
          <w:sz w:val="20"/>
        </w:rPr>
        <w:t>stt_contextual</w:t>
      </w:r>
      <w:r>
        <w:t xml:space="preserve">, </w:t>
      </w:r>
      <w:r>
        <w:rPr>
          <w:rFonts w:ascii="Consolas" w:hAnsi="Consolas"/>
          <w:sz w:val="20"/>
        </w:rPr>
        <w:t>deprecada</w:t>
      </w:r>
      <w:r>
        <w:t xml:space="preserve">, </w:t>
      </w:r>
      <w:r>
        <w:rPr>
          <w:rFonts w:ascii="Consolas" w:hAnsi="Consolas"/>
          <w:sz w:val="20"/>
        </w:rPr>
        <w:t>corruptela</w:t>
      </w:r>
      <w:r>
        <w:t xml:space="preserve">, </w:t>
      </w:r>
      <w:r>
        <w:rPr>
          <w:rFonts w:ascii="Consolas" w:hAnsi="Consolas"/>
          <w:sz w:val="20"/>
        </w:rPr>
        <w:t>oral</w:t>
      </w:r>
      <w:r>
        <w:t xml:space="preserve">, </w:t>
      </w:r>
      <w:r>
        <w:rPr>
          <w:rFonts w:ascii="Consolas" w:hAnsi="Consolas"/>
          <w:sz w:val="20"/>
        </w:rPr>
        <w:t>variacao</w:t>
      </w:r>
      <w:r>
        <w:t xml:space="preserve">) e a marcar a confiança do mapeamento: </w:t>
      </w:r>
      <w:r>
        <w:rPr>
          <w:b/>
        </w:rPr>
        <w:t>299 pares</w:t>
      </w:r>
      <w:r>
        <w:t xml:space="preserve"> são regra de substituição; </w:t>
      </w:r>
      <w:r>
        <w:rPr>
          <w:b/>
        </w:rPr>
        <w:t>613</w:t>
      </w:r>
      <w:r>
        <w:t xml:space="preserve"> são referência oral (reconhecimento, não troca); </w:t>
      </w:r>
      <w:r>
        <w:rPr>
          <w:b/>
        </w:rPr>
        <w:t>507</w:t>
      </w:r>
      <w:r>
        <w:t xml:space="preserve"> são conceituais (nunca trocar).</w:t>
      </w:r>
    </w:p>
    <w:p>
      <w:pPr>
        <w:spacing w:before="200"/>
      </w:pPr>
      <w:r>
        <w:rPr>
          <w:b/>
          <w:color w:val="1F3B57"/>
          <w:sz w:val="22"/>
        </w:rPr>
        <w:t>4.11 126 termos não têm ficha</w:t>
      </w:r>
    </w:p>
    <w:p>
      <w:pPr>
        <w:jc w:val="both"/>
      </w:pPr>
      <w:r>
        <w:rPr>
          <w:rFonts w:ascii="Consolas" w:hAnsi="Consolas"/>
          <w:sz w:val="20"/>
        </w:rPr>
        <w:t>canonico.json</w:t>
      </w:r>
      <w:r>
        <w:t xml:space="preserve"> lista 946 termos; existem 820 fichas. Os 126 restantes não têm "Etimologia e Grafias" nem variantes documentadas — para eles o revisor só pode aplicar o nome canônico.</w:t>
      </w:r>
    </w:p>
    <w:p>
      <w:pPr>
        <w:spacing w:before="200"/>
      </w:pPr>
      <w:r>
        <w:rPr>
          <w:b/>
          <w:color w:val="1F3B57"/>
          <w:sz w:val="24"/>
        </w:rPr>
        <w:t>5. Registro formal de decisão</w:t>
      </w:r>
    </w:p>
    <w:p>
      <w:pPr>
        <w:jc w:val="both"/>
      </w:pPr>
      <w:r>
        <w:t>Tabela a ser incorporada ao Guia v2 (§4.3) e às sementes do motor.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Forma proibida / variante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Forma canônica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Código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Ação do revisor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Asfezion, Asfésian, Fessien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Asphezian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RC-025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grafia errada (Guia v1)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substituir; [A CONFIRMAR] na 1ª ocorrência (confiança baixa)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Brama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RC-037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nunca (Quarentena)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 sempre, exceto em citação literal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Lemion, Lemon, Lemior, Nemon, Lémion, Demion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Len Mion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RC-074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 no texto editorial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radiato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radiata / radiatas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RC-631, RC-093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 no texto editorial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Jane Miranda, Jeanne Miranda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Jeane Miranda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(criar ficha 1.6)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nome próprio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elogismo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regra descartada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 substituir; [A CONFIRMAR] + ouvir áudio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Olm / Ohm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decidir por contexto: Olm (RC-252) ou Quarto Logos (RC-092)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RC-252 / RC-092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homografia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suspenso — nunca trocar às cegas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Sofia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Sophia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RC-009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nunca (Quarentena)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Luzbel (sozinho), Yosbel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Yel Luzbel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RC-142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nunca (Quarentena)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Aia, Aie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Aya, Aye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RC-031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nunca (Quarentena)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Yahé, Xavé, Jabé, Javert, Javer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Javé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Chiva, Chiva/Shiva variantes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Shiva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RC-102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Virgin (na tríade Brama/Virgin/Chiva)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Vishnu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RC-104/RC-781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 por contexto da tríade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Nick (quando = Nick Bostrom)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Nick Bostrom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EXTERNO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camada Externos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protegido — nunca trocar por Nyx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 vista (pagar à vista)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RC-595 (falso positivo)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guarda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 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Cristo (como figura cristã)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Cristo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RC-414 (falso positivo)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homografia/guarda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suspenso — só Krishna se o contexto for o avatar hindu</w:t>
            </w:r>
          </w:p>
        </w:tc>
      </w:tr>
    </w:tbl>
    <w:p/>
    <w:p>
      <w:pPr>
        <w:spacing w:before="200"/>
      </w:pPr>
      <w:r>
        <w:rPr>
          <w:b/>
          <w:color w:val="1F3B57"/>
          <w:sz w:val="24"/>
        </w:rPr>
        <w:t>6. Ações residuais propostas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Ação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Onde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Prioridade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Dependência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Corrigir nome de RC-781 para "Pactos de Javé (Brahma / Vishnu / Shiva)" e refazer as cross-refs (Vishnu/Krishna ≠ RC-102; Shiva ≠ RC-148)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KB-RC/termos/RC-781.md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Completar RC-142 (Yel Luzbel) com Definição Sintética e Etimologia e Grafias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KB-RC/termos/RC-142.md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Criar ficha de Jeane Miranda (categoria 1.6, status "identificada")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KB-RC/termos/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Expor remissiva_para e status: "remissão" no formato canonico e regerar canonico.json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ferramentas/dados_termos.py + JSON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curador/ferramentas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Uniformizar "Len Mion" nos nomes de RC-850/RC-851 (manter "Lemion" como variante)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fichas + nomes de arquivo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Uniformizar Zian/Zion entre RC-092 e RC-252; uniformizar "Têmis" no nome de RC-815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fichas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Registrar "Valores Supremos da Consciência" (programa de YouTube do autor) em biblio.json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KB-RC/biblio.json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Saneamento de "radiato" em títulos curatoriais (RC-631 l.75, RC-009 l.424, RC-565 l.48) sem tocar citações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fichas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baixa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Investigar B095 (código ausente) e corrigir a contagem de obras no Guia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KB-RC/biblio.json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baixa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Confirmar com o produtor: grafia de "Sherminetro", "Tati Quântica", "Sherminetro/Sherminator", canal "Paranormal Experience"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ferramentas/externos.csv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produtor</w:t>
            </w:r>
          </w:p>
        </w:tc>
      </w:tr>
    </w:tbl>
    <w:p/>
    <w:p>
      <w:pPr>
        <w:jc w:val="both"/>
      </w:pPr>
      <w:r>
        <w:t>Nenhuma destas ações bloqueia a revisão da transcrição: as decisões do §5 já são suficientes para operar.</w:t>
      </w:r>
    </w:p>
    <w:p>
      <w:pPr>
        <w:spacing w:before="200"/>
      </w:pPr>
      <w:r>
        <w:rPr>
          <w:b/>
          <w:color w:val="1F3B57"/>
          <w:sz w:val="24"/>
        </w:rPr>
        <w:t>7. Reprodução</w:t>
      </w:r>
    </w:p>
    <w:p>
      <w:pPr>
        <w:ind w:left="360"/>
      </w:pPr>
      <w:r>
        <w:rPr>
          <w:rFonts w:ascii="Consolas" w:hAnsi="Consolas"/>
          <w:sz w:val="18"/>
        </w:rPr>
        <w:t># 1. extrair as relações variante -&gt; canônico da prosa das 820 fichas</w:t>
        <w:br/>
        <w:t>python ferramentas/rc_variantes.py --kb KB-RC \</w:t>
        <w:br/>
        <w:t xml:space="preserve">    --transcricao "Revelações Cósmicas Urgente – Jan Val Ellam.txt"</w:t>
        <w:br/>
        <w:t>#    -&gt; ferramentas/variantes-kb-extraidas.csv (1.590 pares; 299 regras de substituição)</w:t>
        <w:br/>
        <w:br/>
        <w:t># 2. diagnóstico com a KB-RC como fonte de verdade (a planilha é ignorada)</w:t>
        <w:br/>
        <w:t>python ferramentas/rc_diagnostico.py "Revelações Cósmicas Urgente – Jan Val Ellam.txt" \</w:t>
        <w:br/>
        <w:t xml:space="preserve">    --kb KB-RC --saida analise/revelacoes-cosmicas-urgente-jan-val-ellam-kb</w:t>
        <w:br/>
        <w:t>#    -&gt; diagnostico.md / .json, variantes-propostas.csv, ausentes-da-base.csv, dossie-bloco.txt</w:t>
      </w:r>
    </w:p>
    <w:p>
      <w:pPr>
        <w:jc w:val="both"/>
      </w:pPr>
      <w:r>
        <w:rPr>
          <w:b/>
        </w:rPr>
        <w:t>Números do diagnóstico de referência (16/09/2026):</w:t>
      </w:r>
      <w:r>
        <w:t xml:space="preserve"> 18.781 palavras · 96 superfícies da base presentes · 783 candidatos brutos · 61 adjudicáveis (31 na fila de substituição) · 145 entidades ausentes da base · 90 termos relevantes para o dossiê de trabalho (≈1.153 tokens) · 372 sementes carregadas, 32 atingidas, </w:t>
      </w:r>
      <w:r>
        <w:rPr>
          <w:b/>
        </w:rPr>
        <w:t>11 suspensas</w:t>
      </w:r>
      <w:r>
        <w:t xml:space="preserve"> por homografia, guarda ou colisão com Externos.</w:t>
      </w:r>
    </w:p>
    <w:p>
      <w:pPr>
        <w:jc w:val="both"/>
      </w:pPr>
      <w:r>
        <w:rPr>
          <w:b/>
        </w:rPr>
        <w:t>Efeito mensurável da troca de fonte de verdade (planilha → KB-RC):</w:t>
      </w:r>
      <w:r>
        <w:t xml:space="preserve"> superfícies detectadas 67 → 96; variantes/truncamentos na fila 38 → 55 (antes do endurecimento das guardas); entidades "ausentes da base" 169 → 145. A KB-RC reconhece mais e erra menos.</w:t>
      </w:r>
    </w:p>
    <w:p>
      <w:pPr>
        <w:jc w:val="both"/>
      </w:pPr>
      <w:r>
        <w:rPr>
          <w:b/>
        </w:rPr>
        <w:t>Calibração do corte de similaridade</w:t>
      </w:r>
      <w:r>
        <w:t xml:space="preserve"> (medida nesta transcrição, 10 variantes-chave como referência):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--corte-duplo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propostas na fila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variantes-chave preservadas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leitura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0,75 (padrão)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10/10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recall máximo; exige adjudicação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0,80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9/10 (perde Xavé→Javé, coberto pela camada de sementes)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melhor equilíbrio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0,85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4/10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perda inaceitável de recall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0,90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2/10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inutiliza a varredura</w:t>
            </w:r>
          </w:p>
        </w:tc>
      </w:tr>
    </w:tbl>
    <w:p/>
    <w:p>
      <w:pPr>
        <w:jc w:val="both"/>
      </w:pPr>
      <w:r>
        <w:t xml:space="preserve">Conclusão: </w:t>
      </w:r>
      <w:r>
        <w:rPr>
          <w:b/>
        </w:rPr>
        <w:t>o corte não é o instrumento de precisão — a adjudicação contextual é</w:t>
      </w:r>
      <w:r>
        <w:t>. Precisão medida da fila automática nesta transcrição: ≈40% (13 correções claras em 32 propostas); precisão da camada de sementes/Quarentena: ≈100% (após as 11 suspensões). Por isso o Guia v2 mantém o corte frouxo e torna obrigatória a decisão humana por contexto.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