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80" w:before="1800"/>
        <w:jc w:val="center"/>
      </w:pPr>
      <w:r>
        <w:rPr>
          <w:rFonts w:ascii="Arial" w:cs="Arial" w:eastAsia="Arial" w:hAnsi="Arial"/>
          <w:b/>
          <w:bCs/>
          <w:color w:val="1F6F4A"/>
          <w:sz w:val="96"/>
          <w:szCs w:val="96"/>
        </w:rPr>
        <w:t xml:space="preserve">GAIA</w:t>
      </w:r>
    </w:p>
    <w:p>
      <w:pPr>
        <w:spacing w:after="200"/>
        <w:jc w:val="center"/>
      </w:pPr>
      <w:r>
        <w:rPr>
          <w:rFonts w:ascii="Arial" w:cs="Arial" w:eastAsia="Arial" w:hAnsi="Arial"/>
          <w:color w:val="1F2937"/>
          <w:sz w:val="32"/>
          <w:szCs w:val="32"/>
        </w:rPr>
        <w:t xml:space="preserve">Plataforma open source de conservação e restauração</w:t>
      </w:r>
    </w:p>
    <w:p>
      <w:pPr>
        <w:spacing w:after="600"/>
        <w:jc w:val="center"/>
      </w:pPr>
      <w:r>
        <w:rPr>
          <w:rFonts w:ascii="Arial" w:cs="Arial" w:eastAsia="Arial" w:hAnsi="Arial"/>
          <w:i/>
          <w:iCs/>
          <w:color w:val="6B7280"/>
          <w:sz w:val="24"/>
          <w:szCs w:val="24"/>
        </w:rPr>
        <w:t xml:space="preserve">O “Google Maps” dos territórios, povos tradicionais e biodiversidade do Brasil</w:t>
      </w:r>
    </w:p>
    <w:p>
      <w:pPr>
        <w:spacing w:after="80"/>
        <w:jc w:val="center"/>
      </w:pPr>
      <w:r>
        <w:rPr>
          <w:rFonts w:ascii="Arial" w:cs="Arial" w:eastAsia="Arial" w:hAnsi="Arial"/>
          <w:b/>
          <w:bCs/>
          <w:sz w:val="28"/>
          <w:szCs w:val="28"/>
        </w:rPr>
        <w:t xml:space="preserve">Briefing executivo &amp; roteiro de MVP</w:t>
      </w:r>
    </w:p>
    <w:p>
      <w:pPr>
        <w:spacing w:after="80"/>
        <w:jc w:val="center"/>
      </w:pPr>
      <w:r>
        <w:rPr>
          <w:rFonts w:ascii="Arial" w:cs="Arial" w:eastAsia="Arial" w:hAnsi="Arial"/>
          <w:sz w:val="24"/>
          <w:szCs w:val="24"/>
        </w:rPr>
        <w:t xml:space="preserve">Instituto Mouvuca</w:t>
      </w:r>
    </w:p>
    <w:p>
      <w:pPr>
        <w:spacing w:after="80"/>
        <w:jc w:val="center"/>
      </w:pPr>
      <w:r>
        <w:rPr>
          <w:rFonts w:ascii="Arial" w:cs="Arial" w:eastAsia="Arial" w:hAnsi="Arial"/>
          <w:color w:val="6B7280"/>
          <w:sz w:val="22"/>
          <w:szCs w:val="22"/>
        </w:rPr>
        <w:t xml:space="preserve">Alexandre Brizola — fundador</w:t>
      </w:r>
    </w:p>
    <w:p>
      <w:pPr>
        <w:spacing w:after="80"/>
        <w:jc w:val="center"/>
      </w:pPr>
      <w:r>
        <w:rPr>
          <w:rFonts w:ascii="Arial" w:cs="Arial" w:eastAsia="Arial" w:hAnsi="Arial"/>
          <w:color w:val="6B7280"/>
          <w:sz w:val="22"/>
          <w:szCs w:val="22"/>
        </w:rPr>
        <w:t xml:space="preserve">Abril de 2026</w:t>
      </w:r>
    </w:p>
    <w:p>
      <w:r>
        <w:br w:type="page"/>
      </w:r>
    </w:p>
    <w:p>
      <w:pPr>
        <w:pStyle w:val="Heading1"/>
        <w:spacing w:after="200" w:before="320"/>
      </w:pPr>
      <w:r>
        <w:rPr>
          <w:rFonts w:ascii="Arial" w:cs="Arial" w:eastAsia="Arial" w:hAnsi="Arial"/>
          <w:b/>
          <w:bCs/>
          <w:color w:val="1F6F4A"/>
          <w:sz w:val="36"/>
          <w:szCs w:val="36"/>
        </w:rPr>
        <w:t xml:space="preserve">1. Sumário executivo</w:t>
      </w:r>
    </w:p>
    <w:p>
      <w:pPr>
        <w:spacing w:after="120" w:line="300"/>
        <w:jc w:val="left"/>
      </w:pPr>
      <w:r>
        <w:rPr>
          <w:rFonts w:ascii="Arial" w:cs="Arial" w:eastAsia="Arial" w:hAnsi="Arial"/>
          <w:sz w:val="22"/>
          <w:szCs w:val="22"/>
        </w:rPr>
        <w:t xml:space="preserve">GAIA é uma plataforma open source que reúne, em um único mapa interativo, todas as camadas geoespaciais relevantes para a conservação e a restauração no Brasil: terras indígenas, territórios quilombolas, assentamentos da agricultura familiar, unidades de conservação, bacias hidrográficas, áreas de preservação permanente, reservas legais, comunidades tradicionais, organizações de base comunitária e ocorrências de fauna e flora ameaçadas.</w:t>
      </w:r>
    </w:p>
    <w:p>
      <w:pPr>
        <w:spacing w:after="120" w:line="300"/>
        <w:jc w:val="left"/>
      </w:pPr>
      <w:r>
        <w:rPr>
          <w:rFonts w:ascii="Arial" w:cs="Arial" w:eastAsia="Arial" w:hAnsi="Arial"/>
          <w:sz w:val="22"/>
          <w:szCs w:val="22"/>
        </w:rPr>
        <w:t xml:space="preserve">A plataforma combina três fontes de dados complementares. A primeira camada é construída com dados secundários de fontes públicas reconhecidas: ISA, INCRA, CONAQ, IUCN, MapBiomas, Global Forest Watch, ICMBio e CAR (quando disponível). A segunda camada é alimentada por dados primários submetidos colaborativamente por proprietários rurais, pesquisadores, comunidades, ONGs e cidadãos. A terceira camada é a curadoria — uma malha de inteligência artificial em primeiro filtro, seguida de validação por uma rede de especialistas remunerados.</w:t>
      </w:r>
    </w:p>
    <w:p>
      <w:pPr>
        <w:spacing w:after="120" w:line="300"/>
        <w:jc w:val="left"/>
      </w:pPr>
      <w:r>
        <w:rPr>
          <w:rFonts w:ascii="Arial" w:cs="Arial" w:eastAsia="Arial" w:hAnsi="Arial"/>
          <w:sz w:val="22"/>
          <w:szCs w:val="22"/>
        </w:rPr>
        <w:t xml:space="preserve">O resultado é uma infraestrutura comum de dados que serve simultaneamente o pesquisador, o gestor público, o investidor de impacto, o proprietário rural e o cidadão. GAIA é gratuita, em código aberto e LGPD by design. Este briefing apresenta o prompt pronto para ser colado no Cowork, o cronograma de 12 semanas para o MVP, a stack técnica recomendada, sugestões de acrônimo em inglês e a análise do domínio gaia.org.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339" w:sz="6"/>
              <w:left w:val="single" w:color="8FB339" w:sz="6"/>
              <w:bottom w:val="single" w:color="8FB339" w:sz="6"/>
              <w:right w:val="single" w:color="8FB339" w:sz="6"/>
            </w:tcBorders>
            <w:shd w:fill="F1F5F0" w:val="clear"/>
            <w:tcMar>
              <w:top w:type="dxa" w:w="160"/>
              <w:left w:type="dxa" w:w="220"/>
              <w:bottom w:type="dxa" w:w="160"/>
              <w:right w:type="dxa" w:w="220"/>
            </w:tcMar>
          </w:tcPr>
          <w:p>
            <w:pPr>
              <w:spacing w:after="80"/>
            </w:pPr>
            <w:r>
              <w:rPr>
                <w:rFonts w:ascii="Arial" w:cs="Arial" w:eastAsia="Arial" w:hAnsi="Arial"/>
                <w:b/>
                <w:bCs/>
                <w:color w:val="1F6F4A"/>
                <w:sz w:val="22"/>
                <w:szCs w:val="22"/>
              </w:rPr>
              <w:t xml:space="preserve">O que esperar deste documento</w:t>
            </w:r>
          </w:p>
          <w:p>
            <w:r>
              <w:rPr>
                <w:rFonts w:ascii="Arial" w:cs="Arial" w:eastAsia="Arial" w:hAnsi="Arial"/>
                <w:sz w:val="22"/>
                <w:szCs w:val="22"/>
              </w:rPr>
              <w:t xml:space="preserve">Seções 2 a 4 respondem o pedido direto: 5 acrônimos GAIA, status do domínio gaia.org e o prompt pronto para o Cowork. Seções 5 a 9 detalham o cronograma, a arquitetura, a estratégia de curadoria, a conformidade LGPD e os próximos passos imediatos.</w:t>
            </w:r>
          </w:p>
        </w:tc>
      </w:tr>
    </w:tbl>
    <w:p>
      <w:r>
        <w:br w:type="page"/>
      </w:r>
    </w:p>
    <w:p>
      <w:pPr>
        <w:pStyle w:val="Heading1"/>
        <w:spacing w:after="200" w:before="320"/>
      </w:pPr>
      <w:r>
        <w:rPr>
          <w:rFonts w:ascii="Arial" w:cs="Arial" w:eastAsia="Arial" w:hAnsi="Arial"/>
          <w:b/>
          <w:bCs/>
          <w:color w:val="1F6F4A"/>
          <w:sz w:val="36"/>
          <w:szCs w:val="36"/>
        </w:rPr>
        <w:t xml:space="preserve">2. Cinco sugestões de acrônimo para GAIA (em inglês)</w:t>
      </w:r>
    </w:p>
    <w:p>
      <w:pPr>
        <w:spacing w:after="120" w:line="300"/>
        <w:jc w:val="left"/>
      </w:pPr>
      <w:r>
        <w:rPr>
          <w:rFonts w:ascii="Arial" w:cs="Arial" w:eastAsia="Arial" w:hAnsi="Arial"/>
          <w:sz w:val="22"/>
          <w:szCs w:val="22"/>
        </w:rPr>
        <w:t xml:space="preserve">Cinco propostas com diferentes ênfases narrativas — escolha a que melhor reflete o posicionamento do Instituto Mouvuca.</w:t>
      </w:r>
    </w:p>
    <w:p>
      <w:pPr>
        <w:pStyle w:val="Heading3"/>
        <w:spacing w:after="100" w:before="200"/>
      </w:pPr>
      <w:r>
        <w:rPr>
          <w:rFonts w:ascii="Arial" w:cs="Arial" w:eastAsia="Arial" w:hAnsi="Arial"/>
          <w:b/>
          <w:bCs/>
          <w:color w:val="1F6F4A"/>
          <w:sz w:val="24"/>
          <w:szCs w:val="24"/>
        </w:rPr>
        <w:t xml:space="preserve">1. Geospatial Atlas for Indigenous and Agroecological territories  — recomendado</w:t>
      </w:r>
    </w:p>
    <w:p>
      <w:pPr>
        <w:spacing w:after="120" w:line="300"/>
        <w:jc w:val="left"/>
      </w:pPr>
      <w:r>
        <w:rPr>
          <w:rFonts w:ascii="Arial" w:cs="Arial" w:eastAsia="Arial" w:hAnsi="Arial"/>
          <w:sz w:val="22"/>
          <w:szCs w:val="22"/>
        </w:rPr>
        <w:t xml:space="preserve">Tradução: “Atlas geoespacial para territórios indígenas e agroecológicos.” Captura simultaneamente a dimensão de povos tradicionais e a de produção sustentável (assentamentos, propriedades rurais com reserva legal, agroflorestas). É o que mais se aproxima do escopo total da plataforma.</w:t>
      </w:r>
    </w:p>
    <w:p>
      <w:pPr>
        <w:pStyle w:val="Heading3"/>
        <w:spacing w:after="100" w:before="200"/>
      </w:pPr>
      <w:r>
        <w:rPr>
          <w:rFonts w:ascii="Arial" w:cs="Arial" w:eastAsia="Arial" w:hAnsi="Arial"/>
          <w:b/>
          <w:bCs/>
          <w:color w:val="1F6F4A"/>
          <w:sz w:val="24"/>
          <w:szCs w:val="24"/>
        </w:rPr>
        <w:t xml:space="preserve">2. Geographic Alliance for Integrated Action</w:t>
      </w:r>
    </w:p>
    <w:p>
      <w:pPr>
        <w:spacing w:after="120" w:line="300"/>
        <w:jc w:val="left"/>
      </w:pPr>
      <w:r>
        <w:rPr>
          <w:rFonts w:ascii="Arial" w:cs="Arial" w:eastAsia="Arial" w:hAnsi="Arial"/>
          <w:sz w:val="22"/>
          <w:szCs w:val="22"/>
        </w:rPr>
        <w:t xml:space="preserve">Tradução: “Aliança geográfica para ação integrada.” Ênfase no caráter colaborativo e em rede, com leitura forte para parceiros institucionais e financiadores que valorizam articulação multiator.</w:t>
      </w:r>
    </w:p>
    <w:p>
      <w:pPr>
        <w:pStyle w:val="Heading3"/>
        <w:spacing w:after="100" w:before="200"/>
      </w:pPr>
      <w:r>
        <w:rPr>
          <w:rFonts w:ascii="Arial" w:cs="Arial" w:eastAsia="Arial" w:hAnsi="Arial"/>
          <w:b/>
          <w:bCs/>
          <w:color w:val="1F6F4A"/>
          <w:sz w:val="24"/>
          <w:szCs w:val="24"/>
        </w:rPr>
        <w:t xml:space="preserve">3. Geospatial Atlas for Inclusive Awareness</w:t>
      </w:r>
    </w:p>
    <w:p>
      <w:pPr>
        <w:spacing w:after="120" w:line="300"/>
        <w:jc w:val="left"/>
      </w:pPr>
      <w:r>
        <w:rPr>
          <w:rFonts w:ascii="Arial" w:cs="Arial" w:eastAsia="Arial" w:hAnsi="Arial"/>
          <w:sz w:val="22"/>
          <w:szCs w:val="22"/>
        </w:rPr>
        <w:t xml:space="preserve">Tradução: “Atlas geoespacial para consciência inclusiva.” Posicionamento educativo e de ciência cidadã. Útil se o discurso institucional for democratização do conhecimento ambiental.</w:t>
      </w:r>
    </w:p>
    <w:p>
      <w:pPr>
        <w:pStyle w:val="Heading3"/>
        <w:spacing w:after="100" w:before="200"/>
      </w:pPr>
      <w:r>
        <w:rPr>
          <w:rFonts w:ascii="Arial" w:cs="Arial" w:eastAsia="Arial" w:hAnsi="Arial"/>
          <w:b/>
          <w:bCs/>
          <w:color w:val="1F6F4A"/>
          <w:sz w:val="24"/>
          <w:szCs w:val="24"/>
        </w:rPr>
        <w:t xml:space="preserve">4. Geo-intelligence Atlas for Ancestral lands</w:t>
      </w:r>
    </w:p>
    <w:p>
      <w:pPr>
        <w:spacing w:after="120" w:line="300"/>
        <w:jc w:val="left"/>
      </w:pPr>
      <w:r>
        <w:rPr>
          <w:rFonts w:ascii="Arial" w:cs="Arial" w:eastAsia="Arial" w:hAnsi="Arial"/>
          <w:sz w:val="22"/>
          <w:szCs w:val="22"/>
        </w:rPr>
        <w:t xml:space="preserve">Tradução: “Atlas de geointeligência para terras ancestrais.” Destaca o uso de IA e a centralidade dos territórios tradicionais. Mais técnico e político — bom para narrativa de soberania de dados indígenas e quilombolas.</w:t>
      </w:r>
    </w:p>
    <w:p>
      <w:pPr>
        <w:pStyle w:val="Heading3"/>
        <w:spacing w:after="100" w:before="200"/>
      </w:pPr>
      <w:r>
        <w:rPr>
          <w:rFonts w:ascii="Arial" w:cs="Arial" w:eastAsia="Arial" w:hAnsi="Arial"/>
          <w:b/>
          <w:bCs/>
          <w:color w:val="1F6F4A"/>
          <w:sz w:val="24"/>
          <w:szCs w:val="24"/>
        </w:rPr>
        <w:t xml:space="preserve">5. Global Atlas for Indigenous and Agroforestry mapping</w:t>
      </w:r>
    </w:p>
    <w:p>
      <w:pPr>
        <w:spacing w:after="120" w:line="300"/>
        <w:jc w:val="left"/>
      </w:pPr>
      <w:r>
        <w:rPr>
          <w:rFonts w:ascii="Arial" w:cs="Arial" w:eastAsia="Arial" w:hAnsi="Arial"/>
          <w:sz w:val="22"/>
          <w:szCs w:val="22"/>
        </w:rPr>
        <w:t xml:space="preserve">Tradução: “Atlas global para mapeamento indígena e agroflorestal.” Mais internacional, sinaliza ambição de escalar para fora do Brasil em fases futuras. Útil em pitches para fundos globais como Bezos Earth Fund, GEF, Bloomberg Philanthropies.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339" w:sz="6"/>
              <w:left w:val="single" w:color="8FB339" w:sz="6"/>
              <w:bottom w:val="single" w:color="8FB339" w:sz="6"/>
              <w:right w:val="single" w:color="8FB339" w:sz="6"/>
            </w:tcBorders>
            <w:shd w:fill="F1F5F0" w:val="clear"/>
            <w:tcMar>
              <w:top w:type="dxa" w:w="160"/>
              <w:left w:type="dxa" w:w="220"/>
              <w:bottom w:type="dxa" w:w="160"/>
              <w:right w:type="dxa" w:w="220"/>
            </w:tcMar>
          </w:tcPr>
          <w:p>
            <w:pPr>
              <w:spacing w:after="80"/>
            </w:pPr>
            <w:r>
              <w:rPr>
                <w:rFonts w:ascii="Arial" w:cs="Arial" w:eastAsia="Arial" w:hAnsi="Arial"/>
                <w:b/>
                <w:bCs/>
                <w:color w:val="1F6F4A"/>
                <w:sz w:val="22"/>
                <w:szCs w:val="22"/>
              </w:rPr>
              <w:t xml:space="preserve">Recomendação</w:t>
            </w:r>
          </w:p>
          <w:p>
            <w:r>
              <w:rPr>
                <w:rFonts w:ascii="Arial" w:cs="Arial" w:eastAsia="Arial" w:hAnsi="Arial"/>
                <w:sz w:val="22"/>
                <w:szCs w:val="22"/>
              </w:rPr>
              <w:t xml:space="preserve">Adote o nome de domínio público como “GAIA”, mantenha a sigla por extenso “Geospatial Atlas for Indigenous and Agroecological territories” em materiais técnicos e versão em inglês, e use a tagline em português “Mapa vivo da conservação e restauração brasileira” na comunicação local.</w:t>
            </w:r>
          </w:p>
        </w:tc>
      </w:tr>
    </w:tbl>
    <w:p>
      <w:r>
        <w:br w:type="page"/>
      </w:r>
    </w:p>
    <w:p>
      <w:pPr>
        <w:pStyle w:val="Heading1"/>
        <w:spacing w:after="200" w:before="320"/>
      </w:pPr>
      <w:r>
        <w:rPr>
          <w:rFonts w:ascii="Arial" w:cs="Arial" w:eastAsia="Arial" w:hAnsi="Arial"/>
          <w:b/>
          <w:bCs/>
          <w:color w:val="1F6F4A"/>
          <w:sz w:val="36"/>
          <w:szCs w:val="36"/>
        </w:rPr>
        <w:t xml:space="preserve">3. Análise do domínio gaia.org</w:t>
      </w:r>
    </w:p>
    <w:p>
      <w:pPr>
        <w:spacing w:after="120" w:line="300"/>
        <w:jc w:val="left"/>
      </w:pPr>
      <w:r>
        <w:rPr>
          <w:rFonts w:ascii="Arial" w:cs="Arial" w:eastAsia="Arial" w:hAnsi="Arial"/>
          <w:sz w:val="22"/>
          <w:szCs w:val="22"/>
        </w:rPr>
        <w:t xml:space="preserve">O domínio gaia.org não está disponível: pertence à Gaia Trust, fundação dinamarquesa criada em 1987 que apoia projetos de sustentabilidade pelo mundo. As variantes mais óbvias .com e .eco também já estão ocupadas, a primeira por uma empresa de mídia e a segunda por uma plataforma de biodiversidade.</w:t>
      </w:r>
    </w:p>
    <w:p>
      <w:pPr>
        <w:spacing w:after="120" w:line="300"/>
        <w:jc w:val="left"/>
      </w:pPr>
      <w:r>
        <w:rPr>
          <w:rFonts w:ascii="Arial" w:cs="Arial" w:eastAsia="Arial" w:hAnsi="Arial"/>
          <w:sz w:val="22"/>
          <w:szCs w:val="22"/>
        </w:rPr>
        <w:t xml:space="preserve">A boa notícia: existem TLDs alinhados ao tema ambiental — .earth, .eco.br, .bio — e variantes em português que ainda têm boa probabilidade de estarem livres. Recomendo confirmar a disponibilidade no momento da decisão e considerar o registro defensivo de ao menos três alternativas.</w:t>
      </w:r>
    </w:p>
    <w:p>
      <w:pPr>
        <w:pStyle w:val="Heading3"/>
        <w:spacing w:after="100" w:before="200"/>
      </w:pPr>
      <w:r>
        <w:rPr>
          <w:rFonts w:ascii="Arial" w:cs="Arial" w:eastAsia="Arial" w:hAnsi="Arial"/>
          <w:b/>
          <w:bCs/>
          <w:color w:val="1F6F4A"/>
          <w:sz w:val="24"/>
          <w:szCs w:val="24"/>
        </w:rPr>
        <w:t xml:space="preserve">Status e alternativas</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400"/>
        <w:gridCol w:w="1600"/>
        <w:gridCol w:w="5360"/>
      </w:tblGrid>
      <w:tr>
        <w:trPr>
          <w:tblHeader/>
        </w:trPr>
        <w:tc>
          <w:tcPr>
            <w:tcW w:type="dxa" w:w="240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Domínio</w:t>
            </w:r>
          </w:p>
        </w:tc>
        <w:tc>
          <w:tcPr>
            <w:tcW w:type="dxa" w:w="160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536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Observações</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gaia.org</w:t>
            </w:r>
          </w:p>
        </w:tc>
        <w:tc>
          <w:tcPr>
            <w:tcW w:type="dxa" w:w="1600"/>
            <w:tcMar>
              <w:top w:type="dxa" w:w="100"/>
              <w:left w:type="dxa" w:w="140"/>
              <w:bottom w:type="dxa" w:w="100"/>
              <w:right w:type="dxa" w:w="140"/>
            </w:tcMar>
            <w:vAlign w:val="center"/>
          </w:tcPr>
          <w:p>
            <w:r>
              <w:rPr>
                <w:rFonts w:ascii="Arial" w:cs="Arial" w:eastAsia="Arial" w:hAnsi="Arial"/>
                <w:b/>
                <w:bCs/>
                <w:color w:val="B91C1C"/>
                <w:sz w:val="20"/>
                <w:szCs w:val="20"/>
              </w:rPr>
              <w:t xml:space="preserve">Indisponível</w:t>
            </w:r>
          </w:p>
        </w:tc>
        <w:tc>
          <w:tcPr>
            <w:tcW w:type="dxa" w:w="5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Registrado pela Gaia Trust (Dinamarca), fundação de sustentabilidade ativa desde 1987.</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gaia.eco</w:t>
            </w:r>
          </w:p>
        </w:tc>
        <w:tc>
          <w:tcPr>
            <w:tcW w:type="dxa" w:w="1600"/>
            <w:tcMar>
              <w:top w:type="dxa" w:w="100"/>
              <w:left w:type="dxa" w:w="140"/>
              <w:bottom w:type="dxa" w:w="100"/>
              <w:right w:type="dxa" w:w="140"/>
            </w:tcMar>
            <w:vAlign w:val="center"/>
          </w:tcPr>
          <w:p>
            <w:r>
              <w:rPr>
                <w:rFonts w:ascii="Arial" w:cs="Arial" w:eastAsia="Arial" w:hAnsi="Arial"/>
                <w:b/>
                <w:bCs/>
                <w:color w:val="B91C1C"/>
                <w:sz w:val="20"/>
                <w:szCs w:val="20"/>
              </w:rPr>
              <w:t xml:space="preserve">Indisponível</w:t>
            </w:r>
          </w:p>
        </w:tc>
        <w:tc>
          <w:tcPr>
            <w:tcW w:type="dxa" w:w="5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Plataforma de biodiversidade ativa, voltada a paisagistas, ecólogos e conservacionistas.</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gaia.com</w:t>
            </w:r>
          </w:p>
        </w:tc>
        <w:tc>
          <w:tcPr>
            <w:tcW w:type="dxa" w:w="1600"/>
            <w:tcMar>
              <w:top w:type="dxa" w:w="100"/>
              <w:left w:type="dxa" w:w="140"/>
              <w:bottom w:type="dxa" w:w="100"/>
              <w:right w:type="dxa" w:w="140"/>
            </w:tcMar>
            <w:vAlign w:val="center"/>
          </w:tcPr>
          <w:p>
            <w:r>
              <w:rPr>
                <w:rFonts w:ascii="Arial" w:cs="Arial" w:eastAsia="Arial" w:hAnsi="Arial"/>
                <w:b/>
                <w:bCs/>
                <w:color w:val="B91C1C"/>
                <w:sz w:val="20"/>
                <w:szCs w:val="20"/>
              </w:rPr>
              <w:t xml:space="preserve">Indisponível</w:t>
            </w:r>
          </w:p>
        </w:tc>
        <w:tc>
          <w:tcPr>
            <w:tcW w:type="dxa" w:w="5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Empresa de conteúdo digital (Gaia, Inc.), nasdaq listed.</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gaia.earth</w:t>
            </w:r>
          </w:p>
        </w:tc>
        <w:tc>
          <w:tcPr>
            <w:tcW w:type="dxa" w:w="1600"/>
            <w:tcMar>
              <w:top w:type="dxa" w:w="100"/>
              <w:left w:type="dxa" w:w="140"/>
              <w:bottom w:type="dxa" w:w="100"/>
              <w:right w:type="dxa" w:w="140"/>
            </w:tcMar>
            <w:vAlign w:val="center"/>
          </w:tcPr>
          <w:p>
            <w:r>
              <w:rPr>
                <w:rFonts w:ascii="Arial" w:cs="Arial" w:eastAsia="Arial" w:hAnsi="Arial"/>
                <w:b/>
                <w:bCs/>
                <w:color w:val="92400E"/>
                <w:sz w:val="20"/>
                <w:szCs w:val="20"/>
              </w:rPr>
              <w:t xml:space="preserve">Verificar</w:t>
            </w:r>
          </w:p>
        </w:tc>
        <w:tc>
          <w:tcPr>
            <w:tcW w:type="dxa" w:w="5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TLD ambiental .earth combina bem com o posicionamento. Verificar em registro autorizado (NIC, GoDaddy, Cloudflare).</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gaia.org.br</w:t>
            </w:r>
          </w:p>
        </w:tc>
        <w:tc>
          <w:tcPr>
            <w:tcW w:type="dxa" w:w="1600"/>
            <w:tcMar>
              <w:top w:type="dxa" w:w="100"/>
              <w:left w:type="dxa" w:w="140"/>
              <w:bottom w:type="dxa" w:w="100"/>
              <w:right w:type="dxa" w:w="140"/>
            </w:tcMar>
            <w:vAlign w:val="center"/>
          </w:tcPr>
          <w:p>
            <w:r>
              <w:rPr>
                <w:rFonts w:ascii="Arial" w:cs="Arial" w:eastAsia="Arial" w:hAnsi="Arial"/>
                <w:b/>
                <w:bCs/>
                <w:color w:val="92400E"/>
                <w:sz w:val="20"/>
                <w:szCs w:val="20"/>
              </w:rPr>
              <w:t xml:space="preserve">Verificar</w:t>
            </w:r>
          </w:p>
        </w:tc>
        <w:tc>
          <w:tcPr>
            <w:tcW w:type="dxa" w:w="5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Variante brasileira institucional. Consulta via registro.br.</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mapagaia.org</w:t>
            </w:r>
          </w:p>
        </w:tc>
        <w:tc>
          <w:tcPr>
            <w:tcW w:type="dxa" w:w="1600"/>
            <w:tcMar>
              <w:top w:type="dxa" w:w="100"/>
              <w:left w:type="dxa" w:w="140"/>
              <w:bottom w:type="dxa" w:w="100"/>
              <w:right w:type="dxa" w:w="140"/>
            </w:tcMar>
            <w:vAlign w:val="center"/>
          </w:tcPr>
          <w:p>
            <w:r>
              <w:rPr>
                <w:rFonts w:ascii="Arial" w:cs="Arial" w:eastAsia="Arial" w:hAnsi="Arial"/>
                <w:b/>
                <w:bCs/>
                <w:color w:val="92400E"/>
                <w:sz w:val="20"/>
                <w:szCs w:val="20"/>
              </w:rPr>
              <w:t xml:space="preserve">Verificar</w:t>
            </w:r>
          </w:p>
        </w:tc>
        <w:tc>
          <w:tcPr>
            <w:tcW w:type="dxa" w:w="5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Descritivo em pt-BR, comunica diretamente a função da plataforma.</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projetogaia.org</w:t>
            </w:r>
          </w:p>
        </w:tc>
        <w:tc>
          <w:tcPr>
            <w:tcW w:type="dxa" w:w="1600"/>
            <w:tcMar>
              <w:top w:type="dxa" w:w="100"/>
              <w:left w:type="dxa" w:w="140"/>
              <w:bottom w:type="dxa" w:w="100"/>
              <w:right w:type="dxa" w:w="140"/>
            </w:tcMar>
            <w:vAlign w:val="center"/>
          </w:tcPr>
          <w:p>
            <w:r>
              <w:rPr>
                <w:rFonts w:ascii="Arial" w:cs="Arial" w:eastAsia="Arial" w:hAnsi="Arial"/>
                <w:b/>
                <w:bCs/>
                <w:color w:val="92400E"/>
                <w:sz w:val="20"/>
                <w:szCs w:val="20"/>
              </w:rPr>
              <w:t xml:space="preserve">Verificar</w:t>
            </w:r>
          </w:p>
        </w:tc>
        <w:tc>
          <w:tcPr>
            <w:tcW w:type="dxa" w:w="5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Alternativa institucional, alinhada com o tom do Instituto Mouvuca.</w:t>
            </w:r>
          </w:p>
        </w:tc>
      </w:tr>
    </w:tbl>
    <w:p>
      <w:pPr>
        <w:spacing w:after="120" w:line="300"/>
        <w:jc w:val="left"/>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339" w:sz="6"/>
              <w:left w:val="single" w:color="8FB339" w:sz="6"/>
              <w:bottom w:val="single" w:color="8FB339" w:sz="6"/>
              <w:right w:val="single" w:color="8FB339" w:sz="6"/>
            </w:tcBorders>
            <w:shd w:fill="F1F5F0" w:val="clear"/>
            <w:tcMar>
              <w:top w:type="dxa" w:w="160"/>
              <w:left w:type="dxa" w:w="220"/>
              <w:bottom w:type="dxa" w:w="160"/>
              <w:right w:type="dxa" w:w="220"/>
            </w:tcMar>
          </w:tcPr>
          <w:p>
            <w:pPr>
              <w:spacing w:after="80"/>
            </w:pPr>
            <w:r>
              <w:rPr>
                <w:rFonts w:ascii="Arial" w:cs="Arial" w:eastAsia="Arial" w:hAnsi="Arial"/>
                <w:b/>
                <w:bCs/>
                <w:color w:val="1F6F4A"/>
                <w:sz w:val="22"/>
                <w:szCs w:val="22"/>
              </w:rPr>
              <w:t xml:space="preserve">Recomendação prática</w:t>
            </w:r>
          </w:p>
          <w:p>
            <w:r>
              <w:rPr>
                <w:rFonts w:ascii="Arial" w:cs="Arial" w:eastAsia="Arial" w:hAnsi="Arial"/>
                <w:sz w:val="22"/>
                <w:szCs w:val="22"/>
              </w:rPr>
              <w:t xml:space="preserve">Verifique gaia.earth, gaia.org.br e mapagaia.org junto ao registro.br e a um registrar internacional. Se gaia.earth estiver livre, é a opção mais alinhada à marca global; gaia.org.br é a opção institucional brasileira mais sóbria. Registre os três simultaneamente para proteger a marca enquanto o produto cresce.</w:t>
            </w:r>
          </w:p>
        </w:tc>
      </w:tr>
    </w:tbl>
    <w:p>
      <w:r>
        <w:br w:type="page"/>
      </w:r>
    </w:p>
    <w:p>
      <w:pPr>
        <w:pStyle w:val="Heading1"/>
        <w:spacing w:after="200" w:before="320"/>
      </w:pPr>
      <w:r>
        <w:rPr>
          <w:rFonts w:ascii="Arial" w:cs="Arial" w:eastAsia="Arial" w:hAnsi="Arial"/>
          <w:b/>
          <w:bCs/>
          <w:color w:val="1F6F4A"/>
          <w:sz w:val="36"/>
          <w:szCs w:val="36"/>
        </w:rPr>
        <w:t xml:space="preserve">4. Prompt pronto para o Cowork</w:t>
      </w:r>
    </w:p>
    <w:p>
      <w:pPr>
        <w:spacing w:after="120" w:line="300"/>
        <w:jc w:val="left"/>
      </w:pPr>
      <w:r>
        <w:rPr>
          <w:rFonts w:ascii="Arial" w:cs="Arial" w:eastAsia="Arial" w:hAnsi="Arial"/>
          <w:sz w:val="22"/>
          <w:szCs w:val="22"/>
        </w:rPr>
        <w:t xml:space="preserve">Cole o bloco abaixo, na íntegra, no início de uma sessão do Cowork apontando para o repositório do Instituto Mouvuca. O prompt foi calibrado para a stack que você escolheu (PostGIS + GeoServer + MapLibre + Next.js) e para um time pequeno apoiado por IA, com prazo de 12 semanas para 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339" w:sz="6"/>
              <w:left w:val="single" w:color="8FB339" w:sz="6"/>
              <w:bottom w:val="single" w:color="8FB339" w:sz="6"/>
              <w:right w:val="single" w:color="8FB339" w:sz="6"/>
            </w:tcBorders>
            <w:shd w:fill="F1F5F0" w:val="clear"/>
            <w:tcMar>
              <w:top w:type="dxa" w:w="160"/>
              <w:left w:type="dxa" w:w="220"/>
              <w:bottom w:type="dxa" w:w="160"/>
              <w:right w:type="dxa" w:w="220"/>
            </w:tcMar>
          </w:tcPr>
          <w:p>
            <w:pPr>
              <w:spacing w:after="80"/>
            </w:pPr>
            <w:r>
              <w:rPr>
                <w:rFonts w:ascii="Arial" w:cs="Arial" w:eastAsia="Arial" w:hAnsi="Arial"/>
                <w:b/>
                <w:bCs/>
                <w:color w:val="1F6F4A"/>
                <w:sz w:val="22"/>
                <w:szCs w:val="22"/>
              </w:rPr>
              <w:t xml:space="preserve">Como usar</w:t>
            </w:r>
          </w:p>
          <w:p>
            <w:r>
              <w:rPr>
                <w:rFonts w:ascii="Arial" w:cs="Arial" w:eastAsia="Arial" w:hAnsi="Arial"/>
                <w:sz w:val="22"/>
                <w:szCs w:val="22"/>
              </w:rPr>
              <w:t xml:space="preserve">Crie um repositório vazio no GitHub (institutomouvuca/gaia), abra o Cowork apontando para ele, cole o prompt e responda às quatro perguntas que ele vai te devolver. Só depois disso ele começa a escrever código — isso evita que ele tome decisões irreversíveis sem você saber.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4A" w:sz="4"/>
              <w:left w:val="single" w:color="1F6F4A" w:sz="4"/>
              <w:bottom w:val="single" w:color="1F6F4A" w:sz="4"/>
              <w:right w:val="single" w:color="1F6F4A" w:sz="4"/>
            </w:tcBorders>
            <w:shd w:fill="F8FAFC" w:val="clear"/>
            <w:tcMar>
              <w:top w:type="dxa" w:w="200"/>
              <w:left w:type="dxa" w:w="240"/>
              <w:bottom w:type="dxa" w:w="200"/>
              <w:right w:type="dxa" w:w="240"/>
            </w:tcMar>
          </w:tcPr>
          <w:p>
            <w:pPr>
              <w:spacing w:after="60" w:line="280"/>
            </w:pPr>
            <w:r>
              <w:rPr>
                <w:rFonts w:ascii="Consolas" w:cs="Consolas" w:eastAsia="Consolas" w:hAnsi="Consolas"/>
                <w:sz w:val="18"/>
                <w:szCs w:val="18"/>
              </w:rPr>
              <w:t xml:space="preserve">[CONTEXTO]</w:t>
            </w:r>
          </w:p>
          <w:p>
            <w:pPr>
              <w:spacing w:after="60" w:line="280"/>
            </w:pPr>
            <w:r>
              <w:rPr>
                <w:rFonts w:ascii="Consolas" w:cs="Consolas" w:eastAsia="Consolas" w:hAnsi="Consolas"/>
                <w:sz w:val="18"/>
                <w:szCs w:val="18"/>
              </w:rPr>
              <w:t xml:space="preserve">Sou Alexandre Brizola, fundador do Instituto Mouvuca. Quero esboçar o MVP do GAIA — uma plataforma open source, em código aberto, que funciona como um “Google Maps” da conservação e restauração no Brasil. A meta é ter um mapa interativo público com camadas geoespaciais sobrepostas, alimentado por dados secundários de fontes oficiais e por contribuições colaborativas de pesquisadores, comunidades e proprietários rurais, com curadoria por IA e por especialistas humanos. Tudo LGPD by design.</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[OBJETIVO DESTE PROMPT]</w:t>
            </w:r>
          </w:p>
          <w:p>
            <w:pPr>
              <w:spacing w:after="60" w:line="280"/>
            </w:pPr>
            <w:r>
              <w:rPr>
                <w:rFonts w:ascii="Consolas" w:cs="Consolas" w:eastAsia="Consolas" w:hAnsi="Consolas"/>
                <w:sz w:val="18"/>
                <w:szCs w:val="18"/>
              </w:rPr>
              <w:t xml:space="preserve">Quero que você (Cowork) construa, no meu repositório, o esqueleto funcional do MVP do GAIA em uma stack open source padrão geo: PostgreSQL com PostGIS, GeoServer (ou pg_tileserv + martin), MapLibre GL JS no frontend, Next.js 14 (App Router) + TypeScript + Tailwind, Python para os pipelines de ingestão, e Docker Compose para tudo rodar localmente. O objetivo do MVP é exibir um mapa público com pelo menos 5 camadas de dados secundários em produção e estrutura pronta para receber input colaborativo nas fases seguintes.</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[ESCOPO DO MVP — 12 SEMANAS]</w:t>
            </w:r>
          </w:p>
          <w:p>
            <w:pPr>
              <w:spacing w:after="60" w:line="280"/>
            </w:pPr>
            <w:r>
              <w:rPr>
                <w:rFonts w:ascii="Consolas" w:cs="Consolas" w:eastAsia="Consolas" w:hAnsi="Consolas"/>
                <w:sz w:val="18"/>
                <w:szCs w:val="18"/>
              </w:rPr>
              <w:t xml:space="preserve">1. Mapa público com legenda, busca por município e filtros por camada.</w:t>
            </w:r>
          </w:p>
          <w:p>
            <w:pPr>
              <w:spacing w:after="60" w:line="280"/>
            </w:pPr>
            <w:r>
              <w:rPr>
                <w:rFonts w:ascii="Consolas" w:cs="Consolas" w:eastAsia="Consolas" w:hAnsi="Consolas"/>
                <w:sz w:val="18"/>
                <w:szCs w:val="18"/>
              </w:rPr>
              <w:t xml:space="preserve">2. Camadas iniciais (todas a partir de dados secundários):</w:t>
            </w:r>
          </w:p>
          <w:p>
            <w:pPr>
              <w:spacing w:after="60" w:line="280"/>
            </w:pPr>
            <w:r>
              <w:rPr>
                <w:rFonts w:ascii="Consolas" w:cs="Consolas" w:eastAsia="Consolas" w:hAnsi="Consolas"/>
                <w:sz w:val="18"/>
                <w:szCs w:val="18"/>
              </w:rPr>
              <w:t xml:space="preserve">   - Terras indígenas (ISA / FUNAI)</w:t>
            </w:r>
          </w:p>
          <w:p>
            <w:pPr>
              <w:spacing w:after="60" w:line="280"/>
            </w:pPr>
            <w:r>
              <w:rPr>
                <w:rFonts w:ascii="Consolas" w:cs="Consolas" w:eastAsia="Consolas" w:hAnsi="Consolas"/>
                <w:sz w:val="18"/>
                <w:szCs w:val="18"/>
              </w:rPr>
              <w:t xml:space="preserve">   - Territórios quilombolas (CONAQ / INCRA / Palmares)</w:t>
            </w:r>
          </w:p>
          <w:p>
            <w:pPr>
              <w:spacing w:after="60" w:line="280"/>
            </w:pPr>
            <w:r>
              <w:rPr>
                <w:rFonts w:ascii="Consolas" w:cs="Consolas" w:eastAsia="Consolas" w:hAnsi="Consolas"/>
                <w:sz w:val="18"/>
                <w:szCs w:val="18"/>
              </w:rPr>
              <w:t xml:space="preserve">   - Assentamentos de reforma agrária (INCRA — Sigef)</w:t>
            </w:r>
          </w:p>
          <w:p>
            <w:pPr>
              <w:spacing w:after="60" w:line="280"/>
            </w:pPr>
            <w:r>
              <w:rPr>
                <w:rFonts w:ascii="Consolas" w:cs="Consolas" w:eastAsia="Consolas" w:hAnsi="Consolas"/>
                <w:sz w:val="18"/>
                <w:szCs w:val="18"/>
              </w:rPr>
              <w:t xml:space="preserve">   - Unidades de conservação federais e estaduais (ICMBio / MMA / CNUC)</w:t>
            </w:r>
          </w:p>
          <w:p>
            <w:pPr>
              <w:spacing w:after="60" w:line="280"/>
            </w:pPr>
            <w:r>
              <w:rPr>
                <w:rFonts w:ascii="Consolas" w:cs="Consolas" w:eastAsia="Consolas" w:hAnsi="Consolas"/>
                <w:sz w:val="18"/>
                <w:szCs w:val="18"/>
              </w:rPr>
              <w:t xml:space="preserve">   - Bacias hidrográficas e hidrografia (ANA / IBGE)</w:t>
            </w:r>
          </w:p>
          <w:p>
            <w:pPr>
              <w:spacing w:after="60" w:line="280"/>
            </w:pPr>
            <w:r>
              <w:rPr>
                <w:rFonts w:ascii="Consolas" w:cs="Consolas" w:eastAsia="Consolas" w:hAnsi="Consolas"/>
                <w:sz w:val="18"/>
                <w:szCs w:val="18"/>
              </w:rPr>
              <w:t xml:space="preserve">   - Cobertura e uso da terra (MapBiomas Coleção mais recente)</w:t>
            </w:r>
          </w:p>
          <w:p>
            <w:pPr>
              <w:spacing w:after="60" w:line="280"/>
            </w:pPr>
            <w:r>
              <w:rPr>
                <w:rFonts w:ascii="Consolas" w:cs="Consolas" w:eastAsia="Consolas" w:hAnsi="Consolas"/>
                <w:sz w:val="18"/>
                <w:szCs w:val="18"/>
              </w:rPr>
              <w:t xml:space="preserve">   - Alertas de desmatamento (Global Forest Watch — GFW)</w:t>
            </w:r>
          </w:p>
          <w:p>
            <w:pPr>
              <w:spacing w:after="60" w:line="280"/>
            </w:pPr>
            <w:r>
              <w:rPr>
                <w:rFonts w:ascii="Consolas" w:cs="Consolas" w:eastAsia="Consolas" w:hAnsi="Consolas"/>
                <w:sz w:val="18"/>
                <w:szCs w:val="18"/>
              </w:rPr>
              <w:t xml:space="preserve">   - Espécies ameaçadas por bioma (IUCN Red List API + dados ICMBio)</w:t>
            </w:r>
          </w:p>
          <w:p>
            <w:pPr>
              <w:spacing w:after="60" w:line="280"/>
            </w:pPr>
            <w:r>
              <w:rPr>
                <w:rFonts w:ascii="Consolas" w:cs="Consolas" w:eastAsia="Consolas" w:hAnsi="Consolas"/>
                <w:sz w:val="18"/>
                <w:szCs w:val="18"/>
              </w:rPr>
              <w:t xml:space="preserve">3. Página de “ficha do território”: ao clicar em uma área, mostrar nome, tipo, fonte, data, área (ha), bioma, link para fonte original.</w:t>
            </w:r>
          </w:p>
          <w:p>
            <w:pPr>
              <w:spacing w:after="60" w:line="280"/>
            </w:pPr>
            <w:r>
              <w:rPr>
                <w:rFonts w:ascii="Consolas" w:cs="Consolas" w:eastAsia="Consolas" w:hAnsi="Consolas"/>
                <w:sz w:val="18"/>
                <w:szCs w:val="18"/>
              </w:rPr>
              <w:t xml:space="preserve">4. Camada experimental: agregador automatizado de TCCs e artigos sobre conservação/restauração de universidades brasileiras (UFSB, UFSCar, UFPA, USP, UFV, UnB, UEFS, UFBA), partindo de RSS/OAI-PMH dos repositórios institucionais.</w:t>
            </w:r>
          </w:p>
          <w:p>
            <w:pPr>
              <w:spacing w:after="60" w:line="280"/>
            </w:pPr>
            <w:r>
              <w:rPr>
                <w:rFonts w:ascii="Consolas" w:cs="Consolas" w:eastAsia="Consolas" w:hAnsi="Consolas"/>
                <w:sz w:val="18"/>
                <w:szCs w:val="18"/>
              </w:rPr>
              <w:t xml:space="preserve">5. Estrutura de banco e API REST/GraphQL preparada para receber dados primários colaborativos nas fases 2 e 3 (ainda sem UI de input no MVP).</w:t>
            </w:r>
          </w:p>
          <w:p>
            <w:pPr>
              <w:spacing w:after="60" w:line="280"/>
            </w:pPr>
            <w:r>
              <w:rPr>
                <w:rFonts w:ascii="Consolas" w:cs="Consolas" w:eastAsia="Consolas" w:hAnsi="Consolas"/>
                <w:sz w:val="18"/>
                <w:szCs w:val="18"/>
              </w:rPr>
              <w:t xml:space="preserve">6. Conformidade LGPD: termo de uso, política de privacidade, banner de cookies, log de auditoria de acesso a dados, marcação de fonte/origem em cada feature.</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[ENTREGÁVEIS QUE QUERO NESTA PRIMEIRA RODADA]</w:t>
            </w:r>
          </w:p>
          <w:p>
            <w:pPr>
              <w:spacing w:after="60" w:line="280"/>
            </w:pPr>
            <w:r>
              <w:rPr>
                <w:rFonts w:ascii="Consolas" w:cs="Consolas" w:eastAsia="Consolas" w:hAnsi="Consolas"/>
                <w:sz w:val="18"/>
                <w:szCs w:val="18"/>
              </w:rPr>
              <w:t xml:space="preserve">A. Estrutura de monorepo:</w:t>
            </w:r>
          </w:p>
          <w:p>
            <w:pPr>
              <w:spacing w:after="60" w:line="280"/>
            </w:pPr>
            <w:r>
              <w:rPr>
                <w:rFonts w:ascii="Consolas" w:cs="Consolas" w:eastAsia="Consolas" w:hAnsi="Consolas"/>
                <w:sz w:val="18"/>
                <w:szCs w:val="18"/>
              </w:rPr>
              <w:t xml:space="preserve">   - /apps/web (Next.js + MapLibre)</w:t>
            </w:r>
          </w:p>
          <w:p>
            <w:pPr>
              <w:spacing w:after="60" w:line="280"/>
            </w:pPr>
            <w:r>
              <w:rPr>
                <w:rFonts w:ascii="Consolas" w:cs="Consolas" w:eastAsia="Consolas" w:hAnsi="Consolas"/>
                <w:sz w:val="18"/>
                <w:szCs w:val="18"/>
              </w:rPr>
              <w:t xml:space="preserve">   - /apps/api (Node/TS — Fastify ou NestJS)</w:t>
            </w:r>
          </w:p>
          <w:p>
            <w:pPr>
              <w:spacing w:after="60" w:line="280"/>
            </w:pPr>
            <w:r>
              <w:rPr>
                <w:rFonts w:ascii="Consolas" w:cs="Consolas" w:eastAsia="Consolas" w:hAnsi="Consolas"/>
                <w:sz w:val="18"/>
                <w:szCs w:val="18"/>
              </w:rPr>
              <w:t xml:space="preserve">   - /pipelines (Python — Prefect ou Airflow lite)</w:t>
            </w:r>
          </w:p>
          <w:p>
            <w:pPr>
              <w:spacing w:after="60" w:line="280"/>
            </w:pPr>
            <w:r>
              <w:rPr>
                <w:rFonts w:ascii="Consolas" w:cs="Consolas" w:eastAsia="Consolas" w:hAnsi="Consolas"/>
                <w:sz w:val="18"/>
                <w:szCs w:val="18"/>
              </w:rPr>
              <w:t xml:space="preserve">   - /infra (docker-compose, terraform stub, scripts de seed)</w:t>
            </w:r>
          </w:p>
          <w:p>
            <w:pPr>
              <w:spacing w:after="60" w:line="280"/>
            </w:pPr>
            <w:r>
              <w:rPr>
                <w:rFonts w:ascii="Consolas" w:cs="Consolas" w:eastAsia="Consolas" w:hAnsi="Consolas"/>
                <w:sz w:val="18"/>
                <w:szCs w:val="18"/>
              </w:rPr>
              <w:t xml:space="preserve">   - /docs (ARCHITECTURE.md, DATA_SOURCES.md, CONTRIBUTING.md, LGPD.md)</w:t>
            </w:r>
          </w:p>
          <w:p>
            <w:pPr>
              <w:spacing w:after="60" w:line="280"/>
            </w:pPr>
            <w:r>
              <w:rPr>
                <w:rFonts w:ascii="Consolas" w:cs="Consolas" w:eastAsia="Consolas" w:hAnsi="Consolas"/>
                <w:sz w:val="18"/>
                <w:szCs w:val="18"/>
              </w:rPr>
              <w:t xml:space="preserve">B. docker-compose.yml com Postgres+PostGIS, pgAdmin, MinIO (para tiles), API e Web.</w:t>
            </w:r>
          </w:p>
          <w:p>
            <w:pPr>
              <w:spacing w:after="60" w:line="280"/>
            </w:pPr>
            <w:r>
              <w:rPr>
                <w:rFonts w:ascii="Consolas" w:cs="Consolas" w:eastAsia="Consolas" w:hAnsi="Consolas"/>
                <w:sz w:val="18"/>
                <w:szCs w:val="18"/>
              </w:rPr>
              <w:t xml:space="preserve">C. Schema SQL inicial com tabelas: territories, territory_types, sources, observations, species, threats, audit_log, users (preparado para auth futuro), data_contributions (placeholder).</w:t>
            </w:r>
          </w:p>
          <w:p>
            <w:pPr>
              <w:spacing w:after="60" w:line="280"/>
            </w:pPr>
            <w:r>
              <w:rPr>
                <w:rFonts w:ascii="Consolas" w:cs="Consolas" w:eastAsia="Consolas" w:hAnsi="Consolas"/>
                <w:sz w:val="18"/>
                <w:szCs w:val="18"/>
              </w:rPr>
              <w:t xml:space="preserve">D. Pipeline Python que baixa, valida, projeta para SIRGAS 2000 / EPSG:4674, simplifica e carrega no PostGIS pelo menos 3 das 8 fontes acima — começando por terras indígenas (ISA), unidades de conservação (CNUC) e MapBiomas.</w:t>
            </w:r>
          </w:p>
          <w:p>
            <w:pPr>
              <w:spacing w:after="60" w:line="280"/>
            </w:pPr>
            <w:r>
              <w:rPr>
                <w:rFonts w:ascii="Consolas" w:cs="Consolas" w:eastAsia="Consolas" w:hAnsi="Consolas"/>
                <w:sz w:val="18"/>
                <w:szCs w:val="18"/>
              </w:rPr>
              <w:t xml:space="preserve">E. Endpoints públicos para: GET /territories, GET /territories/:id, GET /layers/:layer/tiles/{z}/{x}/{y}.pbf, GET /search?q=municipio, GET /species/:bioma.</w:t>
            </w:r>
          </w:p>
          <w:p>
            <w:pPr>
              <w:spacing w:after="60" w:line="280"/>
            </w:pPr>
            <w:r>
              <w:rPr>
                <w:rFonts w:ascii="Consolas" w:cs="Consolas" w:eastAsia="Consolas" w:hAnsi="Consolas"/>
                <w:sz w:val="18"/>
                <w:szCs w:val="18"/>
              </w:rPr>
              <w:t xml:space="preserve">F. Página inicial: mapa fullscreen, sidebar de camadas, busca, painel de detalhes ao clicar em feature.</w:t>
            </w:r>
          </w:p>
          <w:p>
            <w:pPr>
              <w:spacing w:after="60" w:line="280"/>
            </w:pPr>
            <w:r>
              <w:rPr>
                <w:rFonts w:ascii="Consolas" w:cs="Consolas" w:eastAsia="Consolas" w:hAnsi="Consolas"/>
                <w:sz w:val="18"/>
                <w:szCs w:val="18"/>
              </w:rPr>
              <w:t xml:space="preserve">G. README.md com setup em 5 minutos: clone, copie .env.example, docker compose up, npm run dev.</w:t>
            </w:r>
          </w:p>
          <w:p>
            <w:pPr>
              <w:spacing w:after="60" w:line="280"/>
            </w:pPr>
            <w:r>
              <w:rPr>
                <w:rFonts w:ascii="Consolas" w:cs="Consolas" w:eastAsia="Consolas" w:hAnsi="Consolas"/>
                <w:sz w:val="18"/>
                <w:szCs w:val="18"/>
              </w:rPr>
              <w:t xml:space="preserve">H. CI mínimo no GitHub Actions: lint, type-check e build.</w:t>
            </w:r>
          </w:p>
          <w:p>
            <w:pPr>
              <w:spacing w:after="60" w:line="280"/>
            </w:pPr>
            <w:r>
              <w:rPr>
                <w:rFonts w:ascii="Consolas" w:cs="Consolas" w:eastAsia="Consolas" w:hAnsi="Consolas"/>
                <w:sz w:val="18"/>
                <w:szCs w:val="18"/>
              </w:rPr>
              <w:t xml:space="preserve">I. Licença: AGPL-3.0 (recomendada para garantir que forks SaaS retornem ao commons).</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[REQUISITOS NÃO-FUNCIONAIS]</w:t>
            </w:r>
          </w:p>
          <w:p>
            <w:pPr>
              <w:spacing w:after="60" w:line="280"/>
            </w:pPr>
            <w:r>
              <w:rPr>
                <w:rFonts w:ascii="Consolas" w:cs="Consolas" w:eastAsia="Consolas" w:hAnsi="Consolas"/>
                <w:sz w:val="18"/>
                <w:szCs w:val="18"/>
              </w:rPr>
              <w:t xml:space="preserve">- Performance do mapa: tiles vetoriais MVT, simplificação por zoom, cache CDN-friendly.</w:t>
            </w:r>
          </w:p>
          <w:p>
            <w:pPr>
              <w:spacing w:after="60" w:line="280"/>
            </w:pPr>
            <w:r>
              <w:rPr>
                <w:rFonts w:ascii="Consolas" w:cs="Consolas" w:eastAsia="Consolas" w:hAnsi="Consolas"/>
                <w:sz w:val="18"/>
                <w:szCs w:val="18"/>
              </w:rPr>
              <w:t xml:space="preserve">- Acessibilidade: WCAG 2.1 AA mínimo, contraste, navegação por teclado, alt-text em ícones.</w:t>
            </w:r>
          </w:p>
          <w:p>
            <w:pPr>
              <w:spacing w:after="60" w:line="280"/>
            </w:pPr>
            <w:r>
              <w:rPr>
                <w:rFonts w:ascii="Consolas" w:cs="Consolas" w:eastAsia="Consolas" w:hAnsi="Consolas"/>
                <w:sz w:val="18"/>
                <w:szCs w:val="18"/>
              </w:rPr>
              <w:t xml:space="preserve">- i18n: estrutura pronta para pt-BR (default) e en-US, sem hardcode de strings.</w:t>
            </w:r>
          </w:p>
          <w:p>
            <w:pPr>
              <w:spacing w:after="60" w:line="280"/>
            </w:pPr>
            <w:r>
              <w:rPr>
                <w:rFonts w:ascii="Consolas" w:cs="Consolas" w:eastAsia="Consolas" w:hAnsi="Consolas"/>
                <w:sz w:val="18"/>
                <w:szCs w:val="18"/>
              </w:rPr>
              <w:t xml:space="preserve">- Observabilidade: logs estruturados (pino), traces básicos (OpenTelemetry), healthchecks.</w:t>
            </w:r>
          </w:p>
          <w:p>
            <w:pPr>
              <w:spacing w:after="60" w:line="280"/>
            </w:pPr>
            <w:r>
              <w:rPr>
                <w:rFonts w:ascii="Consolas" w:cs="Consolas" w:eastAsia="Consolas" w:hAnsi="Consolas"/>
                <w:sz w:val="18"/>
                <w:szCs w:val="18"/>
              </w:rPr>
              <w:t xml:space="preserve">- Segurança: rate-limit, CORS estrito, sem secrets em repo, dotenv-vault ou doppler como referência.</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[RESTRIÇÕES E PRINCÍPIOS]</w:t>
            </w:r>
          </w:p>
          <w:p>
            <w:pPr>
              <w:spacing w:after="60" w:line="280"/>
            </w:pPr>
            <w:r>
              <w:rPr>
                <w:rFonts w:ascii="Consolas" w:cs="Consolas" w:eastAsia="Consolas" w:hAnsi="Consolas"/>
                <w:sz w:val="18"/>
                <w:szCs w:val="18"/>
              </w:rPr>
              <w:t xml:space="preserve">- Open source desde o primeiro commit. Repositório público no GitHub sob org “institutomouvuca”.</w:t>
            </w:r>
          </w:p>
          <w:p>
            <w:pPr>
              <w:spacing w:after="60" w:line="280"/>
            </w:pPr>
            <w:r>
              <w:rPr>
                <w:rFonts w:ascii="Consolas" w:cs="Consolas" w:eastAsia="Consolas" w:hAnsi="Consolas"/>
                <w:sz w:val="18"/>
                <w:szCs w:val="18"/>
              </w:rPr>
              <w:t xml:space="preserve">- Sem dependência de fornecedor proprietário. Mapbox e Google Maps estão fora.</w:t>
            </w:r>
          </w:p>
          <w:p>
            <w:pPr>
              <w:spacing w:after="60" w:line="280"/>
            </w:pPr>
            <w:r>
              <w:rPr>
                <w:rFonts w:ascii="Consolas" w:cs="Consolas" w:eastAsia="Consolas" w:hAnsi="Consolas"/>
                <w:sz w:val="18"/>
                <w:szCs w:val="18"/>
              </w:rPr>
              <w:t xml:space="preserve">- Toda feature deve ter “fonte” (campo source_id) rastreável até o link original.</w:t>
            </w:r>
          </w:p>
          <w:p>
            <w:pPr>
              <w:spacing w:after="60" w:line="280"/>
            </w:pPr>
            <w:r>
              <w:rPr>
                <w:rFonts w:ascii="Consolas" w:cs="Consolas" w:eastAsia="Consolas" w:hAnsi="Consolas"/>
                <w:sz w:val="18"/>
                <w:szCs w:val="18"/>
              </w:rPr>
              <w:t xml:space="preserve">- Toda contribuição futura precisará passar por curadoria — assuma que models User, Contribution, Review e ReviewerExpert serão adicionados na fase 2; deixe placeholders e migrações preparadas.</w:t>
            </w:r>
          </w:p>
          <w:p>
            <w:pPr>
              <w:spacing w:after="60" w:line="280"/>
            </w:pPr>
            <w:r>
              <w:rPr>
                <w:rFonts w:ascii="Consolas" w:cs="Consolas" w:eastAsia="Consolas" w:hAnsi="Consolas"/>
                <w:sz w:val="18"/>
                <w:szCs w:val="18"/>
              </w:rPr>
              <w:t xml:space="preserve">- LGPD: nenhum dado pessoal sensível no MVP. Apenas geometria, atributos e fontes públicas.</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[O QUE EU QUERO QUE VOCÊ FAÇA AGORA, NA ORDEM]</w:t>
            </w:r>
          </w:p>
          <w:p>
            <w:pPr>
              <w:spacing w:after="60" w:line="280"/>
            </w:pPr>
            <w:r>
              <w:rPr>
                <w:rFonts w:ascii="Consolas" w:cs="Consolas" w:eastAsia="Consolas" w:hAnsi="Consolas"/>
                <w:sz w:val="18"/>
                <w:szCs w:val="18"/>
              </w:rPr>
              <w:t xml:space="preserve">1. Crie um plano de execução detalhado em /docs/PLAN.md cobrindo as 12 semanas (use o cronograma anexo como base, mas refine com base no que você achar tecnicamente correto).</w:t>
            </w:r>
          </w:p>
          <w:p>
            <w:pPr>
              <w:spacing w:after="60" w:line="280"/>
            </w:pPr>
            <w:r>
              <w:rPr>
                <w:rFonts w:ascii="Consolas" w:cs="Consolas" w:eastAsia="Consolas" w:hAnsi="Consolas"/>
                <w:sz w:val="18"/>
                <w:szCs w:val="18"/>
              </w:rPr>
              <w:t xml:space="preserve">2. Inicialize o monorepo com a estrutura acima.</w:t>
            </w:r>
          </w:p>
          <w:p>
            <w:pPr>
              <w:spacing w:after="60" w:line="280"/>
            </w:pPr>
            <w:r>
              <w:rPr>
                <w:rFonts w:ascii="Consolas" w:cs="Consolas" w:eastAsia="Consolas" w:hAnsi="Consolas"/>
                <w:sz w:val="18"/>
                <w:szCs w:val="18"/>
              </w:rPr>
              <w:t xml:space="preserve">3. Implemente o docker-compose com Postgres+PostGIS, MinIO e pgAdmin.</w:t>
            </w:r>
          </w:p>
          <w:p>
            <w:pPr>
              <w:spacing w:after="60" w:line="280"/>
            </w:pPr>
            <w:r>
              <w:rPr>
                <w:rFonts w:ascii="Consolas" w:cs="Consolas" w:eastAsia="Consolas" w:hAnsi="Consolas"/>
                <w:sz w:val="18"/>
                <w:szCs w:val="18"/>
              </w:rPr>
              <w:t xml:space="preserve">4. Crie o schema SQL inicial e as migrações.</w:t>
            </w:r>
          </w:p>
          <w:p>
            <w:pPr>
              <w:spacing w:after="60" w:line="280"/>
            </w:pPr>
            <w:r>
              <w:rPr>
                <w:rFonts w:ascii="Consolas" w:cs="Consolas" w:eastAsia="Consolas" w:hAnsi="Consolas"/>
                <w:sz w:val="18"/>
                <w:szCs w:val="18"/>
              </w:rPr>
              <w:t xml:space="preserve">5. Implemente o pipeline Python para ingerir terras indígenas (ISA), unidades de conservação (CNUC) e MapBiomas — pelo menos um bioma para o MapBiomas, para validar end-to-end.</w:t>
            </w:r>
          </w:p>
          <w:p>
            <w:pPr>
              <w:spacing w:after="60" w:line="280"/>
            </w:pPr>
            <w:r>
              <w:rPr>
                <w:rFonts w:ascii="Consolas" w:cs="Consolas" w:eastAsia="Consolas" w:hAnsi="Consolas"/>
                <w:sz w:val="18"/>
                <w:szCs w:val="18"/>
              </w:rPr>
              <w:t xml:space="preserve">6. Implemente a API mínima (5 endpoints listados acima).</w:t>
            </w:r>
          </w:p>
          <w:p>
            <w:pPr>
              <w:spacing w:after="60" w:line="280"/>
            </w:pPr>
            <w:r>
              <w:rPr>
                <w:rFonts w:ascii="Consolas" w:cs="Consolas" w:eastAsia="Consolas" w:hAnsi="Consolas"/>
                <w:sz w:val="18"/>
                <w:szCs w:val="18"/>
              </w:rPr>
              <w:t xml:space="preserve">7. Implemente o frontend com mapa MapLibre, sidebar de camadas e busca por município.</w:t>
            </w:r>
          </w:p>
          <w:p>
            <w:pPr>
              <w:spacing w:after="60" w:line="280"/>
            </w:pPr>
            <w:r>
              <w:rPr>
                <w:rFonts w:ascii="Consolas" w:cs="Consolas" w:eastAsia="Consolas" w:hAnsi="Consolas"/>
                <w:sz w:val="18"/>
                <w:szCs w:val="18"/>
              </w:rPr>
              <w:t xml:space="preserve">8. Documente tudo (README, ARCHITECTURE.md, DATA_SOURCES.md).</w:t>
            </w:r>
          </w:p>
          <w:p>
            <w:pPr>
              <w:spacing w:after="60" w:line="280"/>
            </w:pPr>
            <w:r>
              <w:rPr>
                <w:rFonts w:ascii="Consolas" w:cs="Consolas" w:eastAsia="Consolas" w:hAnsi="Consolas"/>
                <w:sz w:val="18"/>
                <w:szCs w:val="18"/>
              </w:rPr>
              <w:t xml:space="preserve">9. Configure CI no GitHub Actions.</w:t>
            </w:r>
          </w:p>
          <w:p>
            <w:pPr>
              <w:spacing w:after="60" w:line="280"/>
            </w:pPr>
            <w:r>
              <w:rPr>
                <w:rFonts w:ascii="Consolas" w:cs="Consolas" w:eastAsia="Consolas" w:hAnsi="Consolas"/>
                <w:sz w:val="18"/>
                <w:szCs w:val="18"/>
              </w:rPr>
              <w:t xml:space="preserve">10. Ao final, gere um relatório resumido em /docs/STATUS.md com o que foi feito, o que ficou pendente e os próximos passos.</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[COMO QUERO QUE VOCÊ TRABALHE]</w:t>
            </w:r>
          </w:p>
          <w:p>
            <w:pPr>
              <w:spacing w:after="60" w:line="280"/>
            </w:pPr>
            <w:r>
              <w:rPr>
                <w:rFonts w:ascii="Consolas" w:cs="Consolas" w:eastAsia="Consolas" w:hAnsi="Consolas"/>
                <w:sz w:val="18"/>
                <w:szCs w:val="18"/>
              </w:rPr>
              <w:t xml:space="preserve">- Sempre começar lendo o que já existe no repo antes de criar arquivo novo.</w:t>
            </w:r>
          </w:p>
          <w:p>
            <w:pPr>
              <w:spacing w:after="60" w:line="280"/>
            </w:pPr>
            <w:r>
              <w:rPr>
                <w:rFonts w:ascii="Consolas" w:cs="Consolas" w:eastAsia="Consolas" w:hAnsi="Consolas"/>
                <w:sz w:val="18"/>
                <w:szCs w:val="18"/>
              </w:rPr>
              <w:t xml:space="preserve">- Confirmar comigo antes de adicionar qualquer dependência paga ou serviço gerenciado.</w:t>
            </w:r>
          </w:p>
          <w:p>
            <w:pPr>
              <w:spacing w:after="60" w:line="280"/>
            </w:pPr>
            <w:r>
              <w:rPr>
                <w:rFonts w:ascii="Consolas" w:cs="Consolas" w:eastAsia="Consolas" w:hAnsi="Consolas"/>
                <w:sz w:val="18"/>
                <w:szCs w:val="18"/>
              </w:rPr>
              <w:t xml:space="preserve">- Quando uma fonte de dados oficial estiver indisponível ou exigir autenticação, registrar em DATA_SOURCES.md o status, link, formato esperado e plano de fallback.</w:t>
            </w:r>
          </w:p>
          <w:p>
            <w:pPr>
              <w:spacing w:after="60" w:line="280"/>
            </w:pPr>
            <w:r>
              <w:rPr>
                <w:rFonts w:ascii="Consolas" w:cs="Consolas" w:eastAsia="Consolas" w:hAnsi="Consolas"/>
                <w:sz w:val="18"/>
                <w:szCs w:val="18"/>
              </w:rPr>
              <w:t xml:space="preserve">- Tracked changes em commits semânticos: feat(layer:ti-isa), chore(infra:docker), docs(plan).</w:t>
            </w:r>
          </w:p>
          <w:p>
            <w:pPr>
              <w:spacing w:after="60" w:line="280"/>
            </w:pPr>
            <w:r>
              <w:rPr>
                <w:rFonts w:ascii="Consolas" w:cs="Consolas" w:eastAsia="Consolas" w:hAnsi="Consolas"/>
                <w:sz w:val="18"/>
                <w:szCs w:val="18"/>
              </w:rPr>
              <w:t xml:space="preserve">- Em cada PR, descrever em pt-BR o que mudou, por que e como testar.</w:t>
            </w:r>
          </w:p>
          <w:p>
            <w:pPr>
              <w:spacing w:after="60" w:line="280"/>
            </w:pPr>
            <w:r>
              <w:rPr>
                <w:rFonts w:ascii="Consolas" w:cs="Consolas" w:eastAsia="Consolas" w:hAnsi="Consolas"/>
                <w:sz w:val="18"/>
                <w:szCs w:val="18"/>
              </w:rPr>
              <w:t xml:space="preserve">- Antes de finalizar, rodar todos os scripts de validação que você mesmo criar e me reportar o que passou e o que falhou.</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[SAÍDA ESPERADA]</w:t>
            </w:r>
          </w:p>
          <w:p>
            <w:pPr>
              <w:spacing w:after="60" w:line="280"/>
            </w:pPr>
            <w:r>
              <w:rPr>
                <w:rFonts w:ascii="Consolas" w:cs="Consolas" w:eastAsia="Consolas" w:hAnsi="Consolas"/>
                <w:sz w:val="18"/>
                <w:szCs w:val="18"/>
              </w:rPr>
              <w:t xml:space="preserve">- Repositório público funcional.</w:t>
            </w:r>
          </w:p>
          <w:p>
            <w:pPr>
              <w:spacing w:after="60" w:line="280"/>
            </w:pPr>
            <w:r>
              <w:rPr>
                <w:rFonts w:ascii="Consolas" w:cs="Consolas" w:eastAsia="Consolas" w:hAnsi="Consolas"/>
                <w:sz w:val="18"/>
                <w:szCs w:val="18"/>
              </w:rPr>
              <w:t xml:space="preserve">- docker compose up sobe tudo localmente em uma máquina mediana.</w:t>
            </w:r>
          </w:p>
          <w:p>
            <w:pPr>
              <w:spacing w:after="60" w:line="280"/>
            </w:pPr>
            <w:r>
              <w:rPr>
                <w:rFonts w:ascii="Consolas" w:cs="Consolas" w:eastAsia="Consolas" w:hAnsi="Consolas"/>
                <w:sz w:val="18"/>
                <w:szCs w:val="18"/>
              </w:rPr>
              <w:t xml:space="preserve">- Acessar http://localhost:3000 abre o mapa com pelo menos 3 camadas funcionais.</w:t>
            </w:r>
          </w:p>
          <w:p>
            <w:pPr>
              <w:spacing w:after="60" w:line="280"/>
            </w:pPr>
            <w:r>
              <w:rPr>
                <w:rFonts w:ascii="Consolas" w:cs="Consolas" w:eastAsia="Consolas" w:hAnsi="Consolas"/>
                <w:sz w:val="18"/>
                <w:szCs w:val="18"/>
              </w:rPr>
              <w:t xml:space="preserve">- /docs/PLAN.md, /docs/STATUS.md, /docs/DATA_SOURCES.md e /docs/LGPD.md preenchidos.</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[PERGUNTAS QUE VOCÊ DEVE ME FAZER ANTES DE COMEÇAR]</w:t>
            </w:r>
          </w:p>
          <w:p>
            <w:pPr>
              <w:spacing w:after="60" w:line="280"/>
            </w:pPr>
            <w:r>
              <w:rPr>
                <w:rFonts w:ascii="Consolas" w:cs="Consolas" w:eastAsia="Consolas" w:hAnsi="Consolas"/>
                <w:sz w:val="18"/>
                <w:szCs w:val="18"/>
              </w:rPr>
              <w:t xml:space="preserve">- Tenho conta GitHub na org institutomouvuca? Em caso negativo, me avise para eu criar.</w:t>
            </w:r>
          </w:p>
          <w:p>
            <w:pPr>
              <w:spacing w:after="60" w:line="280"/>
            </w:pPr>
            <w:r>
              <w:rPr>
                <w:rFonts w:ascii="Consolas" w:cs="Consolas" w:eastAsia="Consolas" w:hAnsi="Consolas"/>
                <w:sz w:val="18"/>
                <w:szCs w:val="18"/>
              </w:rPr>
              <w:t xml:space="preserve">- Tenho domínio comprado? (Eu vou verificar: gaia.earth, gaia.org.br e mapagaia.org.)</w:t>
            </w:r>
          </w:p>
          <w:p>
            <w:pPr>
              <w:spacing w:after="60" w:line="280"/>
            </w:pPr>
            <w:r>
              <w:rPr>
                <w:rFonts w:ascii="Consolas" w:cs="Consolas" w:eastAsia="Consolas" w:hAnsi="Consolas"/>
                <w:sz w:val="18"/>
                <w:szCs w:val="18"/>
              </w:rPr>
              <w:t xml:space="preserve">- Há algum dado primário inicial (proprietários parceiros, comunidades-piloto) que devamos preparar como caso de uso desde já?</w:t>
            </w:r>
          </w:p>
          <w:p>
            <w:pPr>
              <w:spacing w:after="60" w:line="280"/>
            </w:pPr>
            <w:r>
              <w:rPr>
                <w:rFonts w:ascii="Consolas" w:cs="Consolas" w:eastAsia="Consolas" w:hAnsi="Consolas"/>
                <w:sz w:val="18"/>
                <w:szCs w:val="18"/>
              </w:rPr>
              <w:t xml:space="preserve">- Posso usar API key gratuita do MapBiomas e da IUCN, ou prefere alternativas sem cadastro nesta primeira rodada?</w:t>
            </w:r>
          </w:p>
          <w:p>
            <w:pPr>
              <w:spacing w:after="60" w:line="280"/>
            </w:pPr>
            <w:r>
              <w:rPr>
                <w:rFonts w:ascii="Consolas" w:cs="Consolas" w:eastAsia="Consolas" w:hAnsi="Consolas"/>
                <w:sz w:val="18"/>
                <w:szCs w:val="18"/>
              </w:rPr>
              <w:t xml:space="preserve"> </w:t>
            </w:r>
          </w:p>
          <w:p>
            <w:pPr>
              <w:spacing w:after="60" w:line="280"/>
            </w:pPr>
            <w:r>
              <w:rPr>
                <w:rFonts w:ascii="Consolas" w:cs="Consolas" w:eastAsia="Consolas" w:hAnsi="Consolas"/>
                <w:sz w:val="18"/>
                <w:szCs w:val="18"/>
              </w:rPr>
              <w:t xml:space="preserve">Comece pela leitura do escopo, pela proposta de PLAN.md e pelas quatro perguntas acima. Não escreva código antes de eu responder essas perguntas.</w:t>
            </w:r>
          </w:p>
        </w:tc>
      </w:tr>
    </w:tbl>
    <w:p>
      <w:r>
        <w:br w:type="page"/>
      </w:r>
    </w:p>
    <w:p>
      <w:pPr>
        <w:pStyle w:val="Heading1"/>
        <w:spacing w:after="200" w:before="320"/>
      </w:pPr>
      <w:r>
        <w:rPr>
          <w:rFonts w:ascii="Arial" w:cs="Arial" w:eastAsia="Arial" w:hAnsi="Arial"/>
          <w:b/>
          <w:bCs/>
          <w:color w:val="1F6F4A"/>
          <w:sz w:val="36"/>
          <w:szCs w:val="36"/>
        </w:rPr>
        <w:t xml:space="preserve">5. Cronograma — MVP em 12 semanas</w:t>
      </w:r>
    </w:p>
    <w:p>
      <w:pPr>
        <w:spacing w:after="120" w:line="300"/>
        <w:jc w:val="left"/>
      </w:pPr>
      <w:r>
        <w:rPr>
          <w:rFonts w:ascii="Arial" w:cs="Arial" w:eastAsia="Arial" w:hAnsi="Arial"/>
          <w:sz w:val="22"/>
          <w:szCs w:val="22"/>
        </w:rPr>
        <w:t xml:space="preserve">Cronograma agressivo, calibrado para um time de 1 PM (você), 1 dev full-stack, 1 dev geo e 1 designer part-time, com Cowork fazendo parte significativa do trabalho de scaffolding, integração e documentação. Premissas: stack open source padrão geo, decisões de licença e domínio tomadas até a S2, dados secundários priorizados sobre dados primários nesta fase.</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800"/>
        <w:gridCol w:w="2200"/>
        <w:gridCol w:w="4360"/>
        <w:gridCol w:w="2000"/>
      </w:tblGrid>
      <w:tr>
        <w:trPr>
          <w:tblHeader/>
        </w:trPr>
        <w:tc>
          <w:tcPr>
            <w:tcW w:type="dxa" w:w="80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Semana</w:t>
            </w:r>
          </w:p>
        </w:tc>
        <w:tc>
          <w:tcPr>
            <w:tcW w:type="dxa" w:w="220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Foco</w:t>
            </w:r>
          </w:p>
        </w:tc>
        <w:tc>
          <w:tcPr>
            <w:tcW w:type="dxa" w:w="436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Entregáveis</w:t>
            </w:r>
          </w:p>
        </w:tc>
        <w:tc>
          <w:tcPr>
            <w:tcW w:type="dxa" w:w="200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Quem</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S1</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Setup e descoberta</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Repositório criado, monorepo, docker-compose, .env.example, ARCHITECTURE.md draft. DATA_SOURCES.md com inventário de 8 fontes oficiais e status de acesso.</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Dev full-stack + você (PM) + Cowork</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S2</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Banco e schema</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PostGIS rodando, schema SQL inicial, migrações, seed mínimo, pgAdmin acessível. Decisão de licença (AGPL-3.0) registrada.</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Dev geo + Cowork</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S3</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Pipeline 1 — terras indígenas e UCs</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Pipeline Python ingerindo ISA (TIs) e CNUC (UCs) com CRS SIRGAS 2000, com testes de integridade. Tiles vetoriais publicados.</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Dev geo</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S4</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Frontend base</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Next.js + MapLibre subindo o mapa fullscreen, sidebar de camadas, primeiras 2 camadas visíveis, painel de detalhes ao clicar.</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Dev full-stack + designer</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S5</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Pipeline 2 — quilombolas e assentamentos</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Pipelines INCRA Sigef e CONAQ/Palmares. Validação cruzada de áreas. 4 camadas no mapa.</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Dev geo</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S6</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Busca e ficha do território</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Busca por município (geocoding com IBGE), endpoint /search, ficha do território com fonte rastreável e link externo.</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Dev full-stack</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S7</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Pipeline 3 — MapBiomas e GFW</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Cobertura/uso da terra de pelo menos 1 bioma + alertas GFW. Estratégia de tiles raster ou MVT decidida e implementada.</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Dev geo</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S8</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Espécies ameaçadas</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Integração IUCN Red List + Lista oficial ICMBio. Filtro “espécies ameaçadas no bioma X”.</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Dev full-stack + Cowork</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S9</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Harvester de TCCs</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Crawler para repositórios institucionais (OAI-PMH) de UFSB, UFSCar, UFPA, USP, UFV, UnB, UEFS, UFBA. Indexação básica + busca textual.</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Cowork (com supervisão)</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S10</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LGPD, performance e acessibilidade</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Termo de uso, política de privacidade, banner de cookies, log de auditoria, contraste WCAG AA, acessibilidade por teclado.</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Designer + Dev full-stack</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S11</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Conteúdo institucional e onboarding</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Landing page institucional, “sobre o GAIA”, “como contribuir” (placeholder fase 2), guia para pesquisadores, FAQ.</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Você (PM) + designer</w:t>
            </w:r>
          </w:p>
        </w:tc>
      </w:tr>
      <w:tr>
        <w:trPr>
          <w:tblHeader w:val="false"/>
        </w:trPr>
        <w:tc>
          <w:tcPr>
            <w:tcW w:type="dxa" w:w="800"/>
            <w:tcMar>
              <w:top w:type="dxa" w:w="100"/>
              <w:left w:type="dxa" w:w="140"/>
              <w:bottom w:type="dxa" w:w="100"/>
              <w:right w:type="dxa" w:w="140"/>
            </w:tcMar>
            <w:vAlign w:val="center"/>
          </w:tcPr>
          <w:p>
            <w:r>
              <w:rPr>
                <w:rFonts w:ascii="Arial" w:cs="Arial" w:eastAsia="Arial" w:hAnsi="Arial"/>
                <w:b/>
                <w:bCs/>
                <w:color w:val="1F2937"/>
                <w:sz w:val="20"/>
                <w:szCs w:val="20"/>
              </w:rPr>
              <w:t xml:space="preserve">S12</w:t>
            </w:r>
          </w:p>
        </w:tc>
        <w:tc>
          <w:tcPr>
            <w:tcW w:type="dxa" w:w="22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Hardening e lançamento beta</w:t>
            </w:r>
          </w:p>
        </w:tc>
        <w:tc>
          <w:tcPr>
            <w:tcW w:type="dxa" w:w="43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Carga real, deploy em produção (Hetzner ou DigitalOcean), monitoramento, anúncio em redes parceiras (ISA, MapBiomas, RBCP).</w:t>
            </w:r>
          </w:p>
        </w:tc>
        <w:tc>
          <w:tcPr>
            <w:tcW w:type="dxa" w:w="200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Time todo</w:t>
            </w:r>
          </w:p>
        </w:tc>
      </w:tr>
    </w:tbl>
    <w:p>
      <w:pPr>
        <w:spacing w:after="120" w:line="300"/>
        <w:jc w:val="left"/>
      </w:pPr>
      <w:r>
        <w:rPr>
          <w:rFonts w:ascii="Arial" w:cs="Arial" w:eastAsia="Arial" w:hAnsi="Arial"/>
          <w:sz w:val="22"/>
          <w:szCs w:val="22"/>
        </w:rPr>
        <w:t xml:space="preserve"> </w:t>
      </w:r>
    </w:p>
    <w:p>
      <w:pPr>
        <w:pStyle w:val="Heading3"/>
        <w:spacing w:after="100" w:before="200"/>
      </w:pPr>
      <w:r>
        <w:rPr>
          <w:rFonts w:ascii="Arial" w:cs="Arial" w:eastAsia="Arial" w:hAnsi="Arial"/>
          <w:b/>
          <w:bCs/>
          <w:color w:val="1F6F4A"/>
          <w:sz w:val="24"/>
          <w:szCs w:val="24"/>
        </w:rPr>
        <w:t xml:space="preserve">Marcos críticos</w:t>
      </w:r>
    </w:p>
    <w:p>
      <w:pPr>
        <w:pStyle w:val="ListParagraph"/>
        <w:numPr>
          <w:ilvl w:val="0"/>
          <w:numId w:val="2"/>
        </w:numPr>
        <w:spacing w:after="80"/>
      </w:pPr>
      <w:r>
        <w:rPr>
          <w:rFonts w:ascii="Arial" w:cs="Arial" w:eastAsia="Arial" w:hAnsi="Arial"/>
          <w:sz w:val="22"/>
          <w:szCs w:val="22"/>
        </w:rPr>
        <w:t xml:space="preserve">Fim da S2: docker compose up funciona em qualquer máquina e o schema está validado.</w:t>
      </w:r>
    </w:p>
    <w:p>
      <w:pPr>
        <w:pStyle w:val="ListParagraph"/>
        <w:numPr>
          <w:ilvl w:val="0"/>
          <w:numId w:val="2"/>
        </w:numPr>
        <w:spacing w:after="80"/>
      </w:pPr>
      <w:r>
        <w:rPr>
          <w:rFonts w:ascii="Arial" w:cs="Arial" w:eastAsia="Arial" w:hAnsi="Arial"/>
          <w:sz w:val="22"/>
          <w:szCs w:val="22"/>
        </w:rPr>
        <w:t xml:space="preserve">Fim da S6: mapa público com 4 camadas, busca por município e ficha do território — esta é a primeira versão demonstrável a financiadores.</w:t>
      </w:r>
    </w:p>
    <w:p>
      <w:pPr>
        <w:pStyle w:val="ListParagraph"/>
        <w:numPr>
          <w:ilvl w:val="0"/>
          <w:numId w:val="2"/>
        </w:numPr>
        <w:spacing w:after="80"/>
      </w:pPr>
      <w:r>
        <w:rPr>
          <w:rFonts w:ascii="Arial" w:cs="Arial" w:eastAsia="Arial" w:hAnsi="Arial"/>
          <w:sz w:val="22"/>
          <w:szCs w:val="22"/>
        </w:rPr>
        <w:t xml:space="preserve">Fim da S9: 6 camadas + harvester de TCCs em produção. Versão demonstrável para universidades e ONGs parceiras.</w:t>
      </w:r>
    </w:p>
    <w:p>
      <w:pPr>
        <w:pStyle w:val="ListParagraph"/>
        <w:numPr>
          <w:ilvl w:val="0"/>
          <w:numId w:val="2"/>
        </w:numPr>
        <w:spacing w:after="80"/>
      </w:pPr>
      <w:r>
        <w:rPr>
          <w:rFonts w:ascii="Arial" w:cs="Arial" w:eastAsia="Arial" w:hAnsi="Arial"/>
          <w:sz w:val="22"/>
          <w:szCs w:val="22"/>
        </w:rPr>
        <w:t xml:space="preserve">Fim da S12: lançamento beta público com monitoramento e ao menos uma reportagem ou nota institucional repercutindo.</w:t>
      </w:r>
    </w:p>
    <w:p>
      <w:pPr>
        <w:pStyle w:val="Heading3"/>
        <w:spacing w:after="100" w:before="200"/>
      </w:pPr>
      <w:r>
        <w:rPr>
          <w:rFonts w:ascii="Arial" w:cs="Arial" w:eastAsia="Arial" w:hAnsi="Arial"/>
          <w:b/>
          <w:bCs/>
          <w:color w:val="1F6F4A"/>
          <w:sz w:val="24"/>
          <w:szCs w:val="24"/>
        </w:rPr>
        <w:t xml:space="preserve">Riscos e mitigações</w:t>
      </w:r>
    </w:p>
    <w:p>
      <w:pPr>
        <w:pStyle w:val="ListParagraph"/>
        <w:numPr>
          <w:ilvl w:val="0"/>
          <w:numId w:val="2"/>
        </w:numPr>
        <w:spacing w:after="80"/>
      </w:pPr>
      <w:r>
        <w:rPr>
          <w:rFonts w:ascii="Arial" w:cs="Arial" w:eastAsia="Arial" w:hAnsi="Arial"/>
          <w:sz w:val="22"/>
          <w:szCs w:val="22"/>
        </w:rPr>
        <w:t xml:space="preserve">Risco: APIs públicas (CONAC, INCRA Sigef) sem documentação estável. Mitigação: snapshot offline dos dados como fallback, contato direto com a equipe de dados de cada órgão.</w:t>
      </w:r>
    </w:p>
    <w:p>
      <w:pPr>
        <w:pStyle w:val="ListParagraph"/>
        <w:numPr>
          <w:ilvl w:val="0"/>
          <w:numId w:val="2"/>
        </w:numPr>
        <w:spacing w:after="80"/>
      </w:pPr>
      <w:r>
        <w:rPr>
          <w:rFonts w:ascii="Arial" w:cs="Arial" w:eastAsia="Arial" w:hAnsi="Arial"/>
          <w:sz w:val="22"/>
          <w:szCs w:val="22"/>
        </w:rPr>
        <w:t xml:space="preserve">Risco: MapBiomas e GFW exigirem cadastro/limites de uso. Mitigação: começar pelos shapefiles públicos das coleções anuais, escalar para tiles próprios depois.</w:t>
      </w:r>
    </w:p>
    <w:p>
      <w:pPr>
        <w:pStyle w:val="ListParagraph"/>
        <w:numPr>
          <w:ilvl w:val="0"/>
          <w:numId w:val="2"/>
        </w:numPr>
        <w:spacing w:after="80"/>
      </w:pPr>
      <w:r>
        <w:rPr>
          <w:rFonts w:ascii="Arial" w:cs="Arial" w:eastAsia="Arial" w:hAnsi="Arial"/>
          <w:sz w:val="22"/>
          <w:szCs w:val="22"/>
        </w:rPr>
        <w:t xml:space="preserve">Risco: equipe pequena com escopo amplo. Mitigação: usar Cowork agressivamente para boilerplate, testes e documentação; reservar tempo humano para curadoria de fontes e decisões de modelagem.</w:t>
      </w:r>
    </w:p>
    <w:p>
      <w:pPr>
        <w:pStyle w:val="ListParagraph"/>
        <w:numPr>
          <w:ilvl w:val="0"/>
          <w:numId w:val="2"/>
        </w:numPr>
        <w:spacing w:after="80"/>
      </w:pPr>
      <w:r>
        <w:rPr>
          <w:rFonts w:ascii="Arial" w:cs="Arial" w:eastAsia="Arial" w:hAnsi="Arial"/>
          <w:sz w:val="22"/>
          <w:szCs w:val="22"/>
        </w:rPr>
        <w:t xml:space="preserve">Risco: LGPD em zona cinzenta para dados de povos tradicionais. Mitigação: consultoria jurídica especializada na S10; só publicar dados sobre comunidades com consentimento informado quando entrar a fase de input colaborativo.</w:t>
      </w:r>
    </w:p>
    <w:p>
      <w:r>
        <w:br w:type="page"/>
      </w:r>
    </w:p>
    <w:p>
      <w:pPr>
        <w:pStyle w:val="Heading1"/>
        <w:spacing w:after="200" w:before="320"/>
      </w:pPr>
      <w:r>
        <w:rPr>
          <w:rFonts w:ascii="Arial" w:cs="Arial" w:eastAsia="Arial" w:hAnsi="Arial"/>
          <w:b/>
          <w:bCs/>
          <w:color w:val="1F6F4A"/>
          <w:sz w:val="36"/>
          <w:szCs w:val="36"/>
        </w:rPr>
        <w:t xml:space="preserve">6. Stack técnica recomendada</w:t>
      </w:r>
    </w:p>
    <w:p>
      <w:pPr>
        <w:spacing w:after="120" w:line="300"/>
        <w:jc w:val="left"/>
      </w:pPr>
      <w:r>
        <w:rPr>
          <w:rFonts w:ascii="Arial" w:cs="Arial" w:eastAsia="Arial" w:hAnsi="Arial"/>
          <w:sz w:val="22"/>
          <w:szCs w:val="22"/>
        </w:rPr>
        <w:t xml:space="preserve">Stack 100% open source, alinhada com o padrão da comunidade geoespacial e sem lock-in. Os custos de infraestrutura para o MVP devem ficar entre R$ 200 e R$ 600 mensais até atingir tração relevante.</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400"/>
        <w:gridCol w:w="6960"/>
      </w:tblGrid>
      <w:tr>
        <w:trPr>
          <w:tblHeader/>
        </w:trPr>
        <w:tc>
          <w:tcPr>
            <w:tcW w:type="dxa" w:w="240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Camada</w:t>
            </w:r>
          </w:p>
        </w:tc>
        <w:tc>
          <w:tcPr>
            <w:tcW w:type="dxa" w:w="6960"/>
            <w:shd w:fill="1F6F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Tecnologia</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Banco de dados</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PostgreSQL 16 + PostGIS 3.4 + pgRouting (futuro). Backups diários (pg_dump) em MinIO.</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Tiles vetoriais</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pg_tileserv + martin (alternativa: GeoServer se for necessário OGC API/WMS para parceiros).</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Pipelines</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Python 3.12, GeoPandas, OGR/GDAL, Prefect 2 (ou Airflow se houver maturidade do time).</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API</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Node.js 22 + TypeScript + Fastify (ou NestJS), Zod para validação, Prisma para ORM.</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Frontend</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Next.js 14 (App Router) + React 18 + TypeScript + Tailwind + MapLibre GL JS + Turf.js para geoprocessamento client-side.</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Auth (fase 2)</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Auth.js (NextAuth) com provider OAuth (Google, ORCID para pesquisadores) + e-mail mágico.</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Curadoria por IA</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Anthropic Claude via API para verificação semântica + LangGraph para orquestração de agentes; embeddings em pgvector.</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Hospedagem</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Hetzner Cloud (CCX13/23) ou DigitalOcean (Droplets + Spaces). Cloudflare como CDN para tiles.</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Observabilidade</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Pino para logs, OpenTelemetry, Grafana Cloud (free tier) ou Better Stack.</w:t>
            </w:r>
          </w:p>
        </w:tc>
      </w:tr>
      <w:tr>
        <w:tc>
          <w:tcPr>
            <w:tcW w:type="dxa" w:w="2400"/>
            <w:tcMar>
              <w:top w:type="dxa" w:w="100"/>
              <w:left w:type="dxa" w:w="140"/>
              <w:bottom w:type="dxa" w:w="100"/>
              <w:right w:type="dxa" w:w="140"/>
            </w:tcMar>
            <w:vAlign w:val="center"/>
          </w:tcPr>
          <w:p>
            <w:r>
              <w:rPr>
                <w:rFonts w:ascii="Arial" w:cs="Arial" w:eastAsia="Arial" w:hAnsi="Arial"/>
                <w:b/>
                <w:bCs/>
                <w:color w:val="1F2937"/>
                <w:sz w:val="20"/>
                <w:szCs w:val="20"/>
              </w:rPr>
              <w:t xml:space="preserve">CI/CD</w:t>
            </w:r>
          </w:p>
        </w:tc>
        <w:tc>
          <w:tcPr>
            <w:tcW w:type="dxa" w:w="6960"/>
            <w:tcMar>
              <w:top w:type="dxa" w:w="100"/>
              <w:left w:type="dxa" w:w="140"/>
              <w:bottom w:type="dxa" w:w="100"/>
              <w:right w:type="dxa" w:w="140"/>
            </w:tcMar>
            <w:vAlign w:val="center"/>
          </w:tcPr>
          <w:p>
            <w:r>
              <w:rPr>
                <w:rFonts w:ascii="Arial" w:cs="Arial" w:eastAsia="Arial" w:hAnsi="Arial"/>
                <w:b w:val="false"/>
                <w:bCs w:val="false"/>
                <w:color w:val="1F2937"/>
                <w:sz w:val="20"/>
                <w:szCs w:val="20"/>
              </w:rPr>
              <w:t xml:space="preserve">GitHub Actions, build de Docker, deploy via Coolify ou Dokku no host. Tudo gratuito até o pico de uso.</w:t>
            </w:r>
          </w:p>
        </w:tc>
      </w:tr>
    </w:tbl>
    <w:p>
      <w:pPr>
        <w:spacing w:after="120" w:line="300"/>
        <w:jc w:val="left"/>
      </w:pPr>
      <w:r>
        <w:rPr>
          <w:rFonts w:ascii="Arial" w:cs="Arial" w:eastAsia="Arial" w:hAnsi="Arial"/>
          <w:sz w:val="22"/>
          <w:szCs w:val="22"/>
        </w:rPr>
        <w:t xml:space="preserve"> </w:t>
      </w:r>
    </w:p>
    <w:p>
      <w:pPr>
        <w:pStyle w:val="Heading3"/>
        <w:spacing w:after="100" w:before="200"/>
      </w:pPr>
      <w:r>
        <w:rPr>
          <w:rFonts w:ascii="Arial" w:cs="Arial" w:eastAsia="Arial" w:hAnsi="Arial"/>
          <w:b/>
          <w:bCs/>
          <w:color w:val="1F6F4A"/>
          <w:sz w:val="24"/>
          <w:szCs w:val="24"/>
        </w:rPr>
        <w:t xml:space="preserve">Por que essa combinação</w:t>
      </w:r>
    </w:p>
    <w:p>
      <w:pPr>
        <w:spacing w:after="120" w:line="300"/>
        <w:jc w:val="left"/>
      </w:pPr>
      <w:r>
        <w:rPr>
          <w:rFonts w:ascii="Arial" w:cs="Arial" w:eastAsia="Arial" w:hAnsi="Arial"/>
          <w:sz w:val="22"/>
          <w:szCs w:val="22"/>
        </w:rPr>
        <w:t xml:space="preserve">PostGIS é o padrão-ouro para dados geoespaciais e tem comunidade ativa em português. MapLibre GL JS é o sucessor open source do Mapbox GL e roda nativamente com tiles MVT, eliminando o custo do Mapbox. Next.js dá SEO, server components e ergonomia de desenvolvimento. Python para pipelines aproveita o ecossistema científico nacional já familiar a pesquisadores parceiros (GeoPandas, rasterio, xarray).</w:t>
      </w:r>
    </w:p>
    <w:p>
      <w:pPr>
        <w:spacing w:after="120" w:line="300"/>
        <w:jc w:val="left"/>
      </w:pPr>
      <w:r>
        <w:rPr>
          <w:rFonts w:ascii="Arial" w:cs="Arial" w:eastAsia="Arial" w:hAnsi="Arial"/>
          <w:sz w:val="22"/>
          <w:szCs w:val="22"/>
        </w:rPr>
        <w:t xml:space="preserve">A escolha de Hetzner ou DigitalOcean evita as três grandes nuvens americanas, reduz o custo em até 70% e simplifica a conformidade com LGPD ao manter os dados em região europeia ou em data center brasileiro próprio (Hetzner não tem datacenter no Brasil; para isso, Magalu Cloud ou UOL Host são alternativas a considerar na S12).</w:t>
      </w:r>
    </w:p>
    <w:p>
      <w:r>
        <w:br w:type="page"/>
      </w:r>
    </w:p>
    <w:p>
      <w:pPr>
        <w:pStyle w:val="Heading1"/>
        <w:spacing w:after="200" w:before="320"/>
      </w:pPr>
      <w:r>
        <w:rPr>
          <w:rFonts w:ascii="Arial" w:cs="Arial" w:eastAsia="Arial" w:hAnsi="Arial"/>
          <w:b/>
          <w:bCs/>
          <w:color w:val="1F6F4A"/>
          <w:sz w:val="36"/>
          <w:szCs w:val="36"/>
        </w:rPr>
        <w:t xml:space="preserve">7. Modelo de curadoria — IA + especialistas</w:t>
      </w:r>
    </w:p>
    <w:p>
      <w:pPr>
        <w:spacing w:after="120" w:line="300"/>
        <w:jc w:val="left"/>
      </w:pPr>
      <w:r>
        <w:rPr>
          <w:rFonts w:ascii="Arial" w:cs="Arial" w:eastAsia="Arial" w:hAnsi="Arial"/>
          <w:sz w:val="22"/>
          <w:szCs w:val="22"/>
        </w:rPr>
        <w:t xml:space="preserve">A camada de curadoria é o que diferencia o GAIA de um agregador genérico. A proposta é um sistema em duas etapas inspirado no fluxo editorial científico, com a velocidade do Wikipedia e o rigor do peer review.</w:t>
      </w:r>
    </w:p>
    <w:p>
      <w:pPr>
        <w:pStyle w:val="Heading3"/>
        <w:spacing w:after="100" w:before="200"/>
      </w:pPr>
      <w:r>
        <w:rPr>
          <w:rFonts w:ascii="Arial" w:cs="Arial" w:eastAsia="Arial" w:hAnsi="Arial"/>
          <w:b/>
          <w:bCs/>
          <w:color w:val="1F6F4A"/>
          <w:sz w:val="24"/>
          <w:szCs w:val="24"/>
        </w:rPr>
        <w:t xml:space="preserve">Etapa 1 — Triagem por agente de IA</w:t>
      </w:r>
    </w:p>
    <w:p>
      <w:pPr>
        <w:spacing w:after="120" w:line="300"/>
        <w:jc w:val="left"/>
      </w:pPr>
      <w:r>
        <w:rPr>
          <w:rFonts w:ascii="Arial" w:cs="Arial" w:eastAsia="Arial" w:hAnsi="Arial"/>
          <w:sz w:val="22"/>
          <w:szCs w:val="22"/>
        </w:rPr>
        <w:t xml:space="preserve">Toda contribuição passa primeiro por um agente Claude com ferramentas de busca e verificação. O agente executa o seguinte protocolo:</w:t>
      </w:r>
    </w:p>
    <w:p>
      <w:pPr>
        <w:pStyle w:val="ListParagraph"/>
        <w:numPr>
          <w:ilvl w:val="0"/>
          <w:numId w:val="3"/>
        </w:numPr>
        <w:spacing w:after="80"/>
      </w:pPr>
      <w:r>
        <w:rPr>
          <w:rFonts w:ascii="Arial" w:cs="Arial" w:eastAsia="Arial" w:hAnsi="Arial"/>
          <w:sz w:val="22"/>
          <w:szCs w:val="22"/>
        </w:rPr>
        <w:t xml:space="preserve">Verifica a identidade do colaborador. Cruza nome e instituição com Lattes, ORCID, Sucupira ou base institucional declarada.</w:t>
      </w:r>
    </w:p>
    <w:p>
      <w:pPr>
        <w:pStyle w:val="ListParagraph"/>
        <w:numPr>
          <w:ilvl w:val="0"/>
          <w:numId w:val="3"/>
        </w:numPr>
        <w:spacing w:after="80"/>
      </w:pPr>
      <w:r>
        <w:rPr>
          <w:rFonts w:ascii="Arial" w:cs="Arial" w:eastAsia="Arial" w:hAnsi="Arial"/>
          <w:sz w:val="22"/>
          <w:szCs w:val="22"/>
        </w:rPr>
        <w:t xml:space="preserve">Avalia plausibilidade geográfica. A espécie ou registro citado é compatível com o bioma e a UF informados? (Cruzamento com IUCN, ICMBio, GBIF.)</w:t>
      </w:r>
    </w:p>
    <w:p>
      <w:pPr>
        <w:pStyle w:val="ListParagraph"/>
        <w:numPr>
          <w:ilvl w:val="0"/>
          <w:numId w:val="3"/>
        </w:numPr>
        <w:spacing w:after="80"/>
      </w:pPr>
      <w:r>
        <w:rPr>
          <w:rFonts w:ascii="Arial" w:cs="Arial" w:eastAsia="Arial" w:hAnsi="Arial"/>
          <w:sz w:val="22"/>
          <w:szCs w:val="22"/>
        </w:rPr>
        <w:t xml:space="preserve">Detecta conflito de fontes. Existe outro registro contradizendo a contribuição? Se sim, sinaliza para revisão humana.</w:t>
      </w:r>
    </w:p>
    <w:p>
      <w:pPr>
        <w:pStyle w:val="ListParagraph"/>
        <w:numPr>
          <w:ilvl w:val="0"/>
          <w:numId w:val="3"/>
        </w:numPr>
        <w:spacing w:after="80"/>
      </w:pPr>
      <w:r>
        <w:rPr>
          <w:rFonts w:ascii="Arial" w:cs="Arial" w:eastAsia="Arial" w:hAnsi="Arial"/>
          <w:sz w:val="22"/>
          <w:szCs w:val="22"/>
        </w:rPr>
        <w:t xml:space="preserve">Verifica copyright e licenciamento. O documento ou imagem submetida é original ou citação devidamente atribuída?</w:t>
      </w:r>
    </w:p>
    <w:p>
      <w:pPr>
        <w:pStyle w:val="ListParagraph"/>
        <w:numPr>
          <w:ilvl w:val="0"/>
          <w:numId w:val="3"/>
        </w:numPr>
        <w:spacing w:after="80"/>
      </w:pPr>
      <w:r>
        <w:rPr>
          <w:rFonts w:ascii="Arial" w:cs="Arial" w:eastAsia="Arial" w:hAnsi="Arial"/>
          <w:sz w:val="22"/>
          <w:szCs w:val="22"/>
        </w:rPr>
        <w:t xml:space="preserve">Pontua o risco da contribuição em uma escala de 0 a 10. Acima de 6, escala automaticamente para a Etapa 2.</w:t>
      </w:r>
    </w:p>
    <w:p>
      <w:pPr>
        <w:pStyle w:val="Heading3"/>
        <w:spacing w:after="100" w:before="200"/>
      </w:pPr>
      <w:r>
        <w:rPr>
          <w:rFonts w:ascii="Arial" w:cs="Arial" w:eastAsia="Arial" w:hAnsi="Arial"/>
          <w:b/>
          <w:bCs/>
          <w:color w:val="1F6F4A"/>
          <w:sz w:val="24"/>
          <w:szCs w:val="24"/>
        </w:rPr>
        <w:t xml:space="preserve">Etapa 2 — Revisão por especialistas humanos</w:t>
      </w:r>
    </w:p>
    <w:p>
      <w:pPr>
        <w:spacing w:after="120" w:line="300"/>
        <w:jc w:val="left"/>
      </w:pPr>
      <w:r>
        <w:rPr>
          <w:rFonts w:ascii="Arial" w:cs="Arial" w:eastAsia="Arial" w:hAnsi="Arial"/>
          <w:sz w:val="22"/>
          <w:szCs w:val="22"/>
        </w:rPr>
        <w:t xml:space="preserve">Uma rede de 30 a 50 especialistas remunerados — um pequeno honorário por revisão, equivalente a R$ 80 a R$ 150 por hora de revisão — recebe contribuições roteadas por área (mastozoologia, herpetologia, etnobotânica, hidrologia, etc.). O modelo segue regras claras:</w:t>
      </w:r>
    </w:p>
    <w:p>
      <w:pPr>
        <w:pStyle w:val="ListParagraph"/>
        <w:numPr>
          <w:ilvl w:val="0"/>
          <w:numId w:val="2"/>
        </w:numPr>
        <w:spacing w:after="80"/>
      </w:pPr>
      <w:r>
        <w:rPr>
          <w:rFonts w:ascii="Arial" w:cs="Arial" w:eastAsia="Arial" w:hAnsi="Arial"/>
          <w:sz w:val="22"/>
          <w:szCs w:val="22"/>
        </w:rPr>
        <w:t xml:space="preserve">Toda contribuição de alto risco passa por pelo menos 3 revisores independentes.</w:t>
      </w:r>
    </w:p>
    <w:p>
      <w:pPr>
        <w:pStyle w:val="ListParagraph"/>
        <w:numPr>
          <w:ilvl w:val="0"/>
          <w:numId w:val="2"/>
        </w:numPr>
        <w:spacing w:after="80"/>
      </w:pPr>
      <w:r>
        <w:rPr>
          <w:rFonts w:ascii="Arial" w:cs="Arial" w:eastAsia="Arial" w:hAnsi="Arial"/>
          <w:sz w:val="22"/>
          <w:szCs w:val="22"/>
        </w:rPr>
        <w:t xml:space="preserve">Aprovação por maioria simples (2 de 3); empate cai para um quarto revisor sênior.</w:t>
      </w:r>
    </w:p>
    <w:p>
      <w:pPr>
        <w:pStyle w:val="ListParagraph"/>
        <w:numPr>
          <w:ilvl w:val="0"/>
          <w:numId w:val="2"/>
        </w:numPr>
        <w:spacing w:after="80"/>
      </w:pPr>
      <w:r>
        <w:rPr>
          <w:rFonts w:ascii="Arial" w:cs="Arial" w:eastAsia="Arial" w:hAnsi="Arial"/>
          <w:sz w:val="22"/>
          <w:szCs w:val="22"/>
        </w:rPr>
        <w:t xml:space="preserve">Revisores devem declarar conflito de interesse e podem se recusar a revisar contribuições de pessoas próximas.</w:t>
      </w:r>
    </w:p>
    <w:p>
      <w:pPr>
        <w:pStyle w:val="ListParagraph"/>
        <w:numPr>
          <w:ilvl w:val="0"/>
          <w:numId w:val="2"/>
        </w:numPr>
        <w:spacing w:after="80"/>
      </w:pPr>
      <w:r>
        <w:rPr>
          <w:rFonts w:ascii="Arial" w:cs="Arial" w:eastAsia="Arial" w:hAnsi="Arial"/>
          <w:sz w:val="22"/>
          <w:szCs w:val="22"/>
        </w:rPr>
        <w:t xml:space="preserve">Toda decisão fica registrada com identidade do revisor (transparência), justificativa e data, no estilo OpenReview.</w:t>
      </w:r>
    </w:p>
    <w:p>
      <w:pPr>
        <w:pStyle w:val="ListParagraph"/>
        <w:numPr>
          <w:ilvl w:val="0"/>
          <w:numId w:val="2"/>
        </w:numPr>
        <w:spacing w:after="80"/>
      </w:pPr>
      <w:r>
        <w:rPr>
          <w:rFonts w:ascii="Arial" w:cs="Arial" w:eastAsia="Arial" w:hAnsi="Arial"/>
          <w:sz w:val="22"/>
          <w:szCs w:val="22"/>
        </w:rPr>
        <w:t xml:space="preserve">Contribuições de proprietários rurais sobre a própria terra (delimitação, matrícula, reserva legal) não passam pela rede acadêmica — passam por uma trilha separada de validação documental.</w:t>
      </w:r>
    </w:p>
    <w:p>
      <w:pPr>
        <w:pStyle w:val="Heading3"/>
        <w:spacing w:after="100" w:before="200"/>
      </w:pPr>
      <w:r>
        <w:rPr>
          <w:rFonts w:ascii="Arial" w:cs="Arial" w:eastAsia="Arial" w:hAnsi="Arial"/>
          <w:b/>
          <w:bCs/>
          <w:color w:val="1F6F4A"/>
          <w:sz w:val="24"/>
          <w:szCs w:val="24"/>
        </w:rPr>
        <w:t xml:space="preserve">Mecânica de comunidade</w:t>
      </w:r>
    </w:p>
    <w:p>
      <w:pPr>
        <w:spacing w:after="120" w:line="300"/>
        <w:jc w:val="left"/>
      </w:pPr>
      <w:r>
        <w:rPr>
          <w:rFonts w:ascii="Arial" w:cs="Arial" w:eastAsia="Arial" w:hAnsi="Arial"/>
          <w:sz w:val="22"/>
          <w:szCs w:val="22"/>
        </w:rPr>
        <w:t xml:space="preserve">Cada colaborador acumula um score público de confiabilidade — análogo ao reputation score do Stack Overflow ou do iNaturalist. Score alto desbloqueia atribuição automática (ou seja, contribuições aprovadas com revisão amostral em vez de integral). Score baixo ou histórico de contribuições rejeitadas escala a triagem.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339" w:sz="6"/>
              <w:left w:val="single" w:color="8FB339" w:sz="6"/>
              <w:bottom w:val="single" w:color="8FB339" w:sz="6"/>
              <w:right w:val="single" w:color="8FB339" w:sz="6"/>
            </w:tcBorders>
            <w:shd w:fill="F1F5F0" w:val="clear"/>
            <w:tcMar>
              <w:top w:type="dxa" w:w="160"/>
              <w:left w:type="dxa" w:w="220"/>
              <w:bottom w:type="dxa" w:w="160"/>
              <w:right w:type="dxa" w:w="220"/>
            </w:tcMar>
          </w:tcPr>
          <w:p>
            <w:pPr>
              <w:spacing w:after="80"/>
            </w:pPr>
            <w:r>
              <w:rPr>
                <w:rFonts w:ascii="Arial" w:cs="Arial" w:eastAsia="Arial" w:hAnsi="Arial"/>
                <w:b/>
                <w:bCs/>
                <w:color w:val="1F6F4A"/>
                <w:sz w:val="22"/>
                <w:szCs w:val="22"/>
              </w:rPr>
              <w:t xml:space="preserve">Quantidade ideal de revisores</w:t>
            </w:r>
          </w:p>
          <w:p>
            <w:r>
              <w:rPr>
                <w:rFonts w:ascii="Arial" w:cs="Arial" w:eastAsia="Arial" w:hAnsi="Arial"/>
                <w:sz w:val="22"/>
                <w:szCs w:val="22"/>
              </w:rPr>
              <w:t xml:space="preserve">3 a 5 revisores por contribuição de alto risco é o sweet spot apontado pela literatura de revisão por pares (Bornmann, 2011). Abaixo disso, vieses individuais dominam; acima, o custo marginal supera o ganho de qualidade. Para o MVP, comece com painéis de 3 revisores e quórum de 2.</w:t>
            </w:r>
          </w:p>
        </w:tc>
      </w:tr>
    </w:tbl>
    <w:p>
      <w:r>
        <w:br w:type="page"/>
      </w:r>
    </w:p>
    <w:p>
      <w:pPr>
        <w:pStyle w:val="Heading1"/>
        <w:spacing w:after="200" w:before="320"/>
      </w:pPr>
      <w:r>
        <w:rPr>
          <w:rFonts w:ascii="Arial" w:cs="Arial" w:eastAsia="Arial" w:hAnsi="Arial"/>
          <w:b/>
          <w:bCs/>
          <w:color w:val="1F6F4A"/>
          <w:sz w:val="36"/>
          <w:szCs w:val="36"/>
        </w:rPr>
        <w:t xml:space="preserve">8. LGPD by design</w:t>
      </w:r>
    </w:p>
    <w:p>
      <w:pPr>
        <w:spacing w:after="120" w:line="300"/>
        <w:jc w:val="left"/>
      </w:pPr>
      <w:r>
        <w:rPr>
          <w:rFonts w:ascii="Arial" w:cs="Arial" w:eastAsia="Arial" w:hAnsi="Arial"/>
          <w:sz w:val="22"/>
          <w:szCs w:val="22"/>
        </w:rPr>
        <w:t xml:space="preserve">A plataforma manipula simultaneamente dados públicos (não sujeitos à LGPD nas mesmas regras), dados pessoais de colaboradores (sujeitos à LGPD) e dados sensíveis de comunidades tradicionais (sujeitos a proteção reforçada e a princípios de soberania de dados indígenas — “Indigenous Data Sovereignty”). O desenho deve refletir essa estratificação desde o primeiro commit.</w:t>
      </w:r>
    </w:p>
    <w:p>
      <w:pPr>
        <w:pStyle w:val="Heading3"/>
        <w:spacing w:after="100" w:before="200"/>
      </w:pPr>
      <w:r>
        <w:rPr>
          <w:rFonts w:ascii="Arial" w:cs="Arial" w:eastAsia="Arial" w:hAnsi="Arial"/>
          <w:b/>
          <w:bCs/>
          <w:color w:val="1F6F4A"/>
          <w:sz w:val="24"/>
          <w:szCs w:val="24"/>
        </w:rPr>
        <w:t xml:space="preserve">Princípios obrigatórios</w:t>
      </w:r>
    </w:p>
    <w:p>
      <w:pPr>
        <w:pStyle w:val="ListParagraph"/>
        <w:numPr>
          <w:ilvl w:val="0"/>
          <w:numId w:val="2"/>
        </w:numPr>
        <w:spacing w:after="80"/>
      </w:pPr>
      <w:r>
        <w:rPr>
          <w:rFonts w:ascii="Arial" w:cs="Arial" w:eastAsia="Arial" w:hAnsi="Arial"/>
          <w:sz w:val="22"/>
          <w:szCs w:val="22"/>
        </w:rPr>
        <w:t xml:space="preserve">Finalidade explícita. Cada categoria de dado declara para que será usada na política de privacidade e nos termos de uso.</w:t>
      </w:r>
    </w:p>
    <w:p>
      <w:pPr>
        <w:pStyle w:val="ListParagraph"/>
        <w:numPr>
          <w:ilvl w:val="0"/>
          <w:numId w:val="2"/>
        </w:numPr>
        <w:spacing w:after="80"/>
      </w:pPr>
      <w:r>
        <w:rPr>
          <w:rFonts w:ascii="Arial" w:cs="Arial" w:eastAsia="Arial" w:hAnsi="Arial"/>
          <w:sz w:val="22"/>
          <w:szCs w:val="22"/>
        </w:rPr>
        <w:t xml:space="preserve">Minimização. Coletar somente o necessário. Para colaboradores, e-mail + nome + instituição. Para proprietários rurais, somente o que é necessário para validar matrícula e CAR.</w:t>
      </w:r>
    </w:p>
    <w:p>
      <w:pPr>
        <w:pStyle w:val="ListParagraph"/>
        <w:numPr>
          <w:ilvl w:val="0"/>
          <w:numId w:val="2"/>
        </w:numPr>
        <w:spacing w:after="80"/>
      </w:pPr>
      <w:r>
        <w:rPr>
          <w:rFonts w:ascii="Arial" w:cs="Arial" w:eastAsia="Arial" w:hAnsi="Arial"/>
          <w:sz w:val="22"/>
          <w:szCs w:val="22"/>
        </w:rPr>
        <w:t xml:space="preserve">Consentimento granular. Caixa única do tipo “aceito tudo” é proibida. Cada uso de dado pessoal exige um consentimento separado.</w:t>
      </w:r>
    </w:p>
    <w:p>
      <w:pPr>
        <w:pStyle w:val="ListParagraph"/>
        <w:numPr>
          <w:ilvl w:val="0"/>
          <w:numId w:val="2"/>
        </w:numPr>
        <w:spacing w:after="80"/>
      </w:pPr>
      <w:r>
        <w:rPr>
          <w:rFonts w:ascii="Arial" w:cs="Arial" w:eastAsia="Arial" w:hAnsi="Arial"/>
          <w:sz w:val="22"/>
          <w:szCs w:val="22"/>
        </w:rPr>
        <w:t xml:space="preserve">Direito ao esquecimento. Toda colaboração pode ser despublicada por solicitação do colaborador, mantendo um log auditável.</w:t>
      </w:r>
    </w:p>
    <w:p>
      <w:pPr>
        <w:pStyle w:val="ListParagraph"/>
        <w:numPr>
          <w:ilvl w:val="0"/>
          <w:numId w:val="2"/>
        </w:numPr>
        <w:spacing w:after="80"/>
      </w:pPr>
      <w:r>
        <w:rPr>
          <w:rFonts w:ascii="Arial" w:cs="Arial" w:eastAsia="Arial" w:hAnsi="Arial"/>
          <w:sz w:val="22"/>
          <w:szCs w:val="22"/>
        </w:rPr>
        <w:t xml:space="preserve">Soberania de dados de povos tradicionais. Dados sobre territórios indígenas e quilombolas só são incluídos se vierem de fonte oficial pública (FUNAI/INCRA/Palmares) ou se a própria comunidade autorizar formalmente. Não há scraping de mapas comunitários sem consentimento.</w:t>
      </w:r>
    </w:p>
    <w:p>
      <w:pPr>
        <w:pStyle w:val="ListParagraph"/>
        <w:numPr>
          <w:ilvl w:val="0"/>
          <w:numId w:val="2"/>
        </w:numPr>
        <w:spacing w:after="80"/>
      </w:pPr>
      <w:r>
        <w:rPr>
          <w:rFonts w:ascii="Arial" w:cs="Arial" w:eastAsia="Arial" w:hAnsi="Arial"/>
          <w:sz w:val="22"/>
          <w:szCs w:val="22"/>
        </w:rPr>
        <w:t xml:space="preserve">Auditoria. Todo acesso administrativo a dados pessoais é registrado em audit_log imutável.</w:t>
      </w:r>
    </w:p>
    <w:p>
      <w:pPr>
        <w:pStyle w:val="Heading3"/>
        <w:spacing w:after="100" w:before="200"/>
      </w:pPr>
      <w:r>
        <w:rPr>
          <w:rFonts w:ascii="Arial" w:cs="Arial" w:eastAsia="Arial" w:hAnsi="Arial"/>
          <w:b/>
          <w:bCs/>
          <w:color w:val="1F6F4A"/>
          <w:sz w:val="24"/>
          <w:szCs w:val="24"/>
        </w:rPr>
        <w:t xml:space="preserve">Documentos mínimos a publicar antes do beta</w:t>
      </w:r>
    </w:p>
    <w:p>
      <w:pPr>
        <w:pStyle w:val="ListParagraph"/>
        <w:numPr>
          <w:ilvl w:val="0"/>
          <w:numId w:val="2"/>
        </w:numPr>
        <w:spacing w:after="80"/>
      </w:pPr>
      <w:r>
        <w:rPr>
          <w:rFonts w:ascii="Arial" w:cs="Arial" w:eastAsia="Arial" w:hAnsi="Arial"/>
          <w:sz w:val="22"/>
          <w:szCs w:val="22"/>
        </w:rPr>
        <w:t xml:space="preserve">Termo de uso (quem pode usar, o que pode fazer, o que é proibido).</w:t>
      </w:r>
    </w:p>
    <w:p>
      <w:pPr>
        <w:pStyle w:val="ListParagraph"/>
        <w:numPr>
          <w:ilvl w:val="0"/>
          <w:numId w:val="2"/>
        </w:numPr>
        <w:spacing w:after="80"/>
      </w:pPr>
      <w:r>
        <w:rPr>
          <w:rFonts w:ascii="Arial" w:cs="Arial" w:eastAsia="Arial" w:hAnsi="Arial"/>
          <w:sz w:val="22"/>
          <w:szCs w:val="22"/>
        </w:rPr>
        <w:t xml:space="preserve">Política de privacidade (lista categorias de dados, finalidades, bases legais).</w:t>
      </w:r>
    </w:p>
    <w:p>
      <w:pPr>
        <w:pStyle w:val="ListParagraph"/>
        <w:numPr>
          <w:ilvl w:val="0"/>
          <w:numId w:val="2"/>
        </w:numPr>
        <w:spacing w:after="80"/>
      </w:pPr>
      <w:r>
        <w:rPr>
          <w:rFonts w:ascii="Arial" w:cs="Arial" w:eastAsia="Arial" w:hAnsi="Arial"/>
          <w:sz w:val="22"/>
          <w:szCs w:val="22"/>
        </w:rPr>
        <w:t xml:space="preserve">Política de cookies (granular, com banner conformante).</w:t>
      </w:r>
    </w:p>
    <w:p>
      <w:pPr>
        <w:pStyle w:val="ListParagraph"/>
        <w:numPr>
          <w:ilvl w:val="0"/>
          <w:numId w:val="2"/>
        </w:numPr>
        <w:spacing w:after="80"/>
      </w:pPr>
      <w:r>
        <w:rPr>
          <w:rFonts w:ascii="Arial" w:cs="Arial" w:eastAsia="Arial" w:hAnsi="Arial"/>
          <w:sz w:val="22"/>
          <w:szCs w:val="22"/>
        </w:rPr>
        <w:t xml:space="preserve">Manifesto de soberania de dados de povos tradicionais (compromisso público).</w:t>
      </w:r>
    </w:p>
    <w:p>
      <w:pPr>
        <w:pStyle w:val="ListParagraph"/>
        <w:numPr>
          <w:ilvl w:val="0"/>
          <w:numId w:val="2"/>
        </w:numPr>
        <w:spacing w:after="80"/>
      </w:pPr>
      <w:r>
        <w:rPr>
          <w:rFonts w:ascii="Arial" w:cs="Arial" w:eastAsia="Arial" w:hAnsi="Arial"/>
          <w:sz w:val="22"/>
          <w:szCs w:val="22"/>
        </w:rPr>
        <w:t xml:space="preserve">Procedimento de solicitação de direitos (DPO ou encarregado nomeado, e-mail dedicado).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339" w:sz="6"/>
              <w:left w:val="single" w:color="8FB339" w:sz="6"/>
              <w:bottom w:val="single" w:color="8FB339" w:sz="6"/>
              <w:right w:val="single" w:color="8FB339" w:sz="6"/>
            </w:tcBorders>
            <w:shd w:fill="F1F5F0" w:val="clear"/>
            <w:tcMar>
              <w:top w:type="dxa" w:w="160"/>
              <w:left w:type="dxa" w:w="220"/>
              <w:bottom w:type="dxa" w:w="160"/>
              <w:right w:type="dxa" w:w="220"/>
            </w:tcMar>
          </w:tcPr>
          <w:p>
            <w:pPr>
              <w:spacing w:after="80"/>
            </w:pPr>
            <w:r>
              <w:rPr>
                <w:rFonts w:ascii="Arial" w:cs="Arial" w:eastAsia="Arial" w:hAnsi="Arial"/>
                <w:b/>
                <w:bCs/>
                <w:color w:val="1F6F4A"/>
                <w:sz w:val="22"/>
                <w:szCs w:val="22"/>
              </w:rPr>
              <w:t xml:space="preserve">Recomendação</w:t>
            </w:r>
          </w:p>
          <w:p>
            <w:r>
              <w:rPr>
                <w:rFonts w:ascii="Arial" w:cs="Arial" w:eastAsia="Arial" w:hAnsi="Arial"/>
                <w:sz w:val="22"/>
                <w:szCs w:val="22"/>
              </w:rPr>
              <w:t xml:space="preserve">Contrate uma consultoria jurídica especializada em LGPD e dados ambientais até a S10 para revisar os documentos antes do lançamento beta. ProBono Brasil e a Coalizão Direitos na Rede mantêm listas de escritórios com pro bono ambiental.</w:t>
            </w:r>
          </w:p>
        </w:tc>
      </w:tr>
    </w:tbl>
    <w:p>
      <w:r>
        <w:br w:type="page"/>
      </w:r>
    </w:p>
    <w:p>
      <w:pPr>
        <w:pStyle w:val="Heading1"/>
        <w:spacing w:after="200" w:before="320"/>
      </w:pPr>
      <w:r>
        <w:rPr>
          <w:rFonts w:ascii="Arial" w:cs="Arial" w:eastAsia="Arial" w:hAnsi="Arial"/>
          <w:b/>
          <w:bCs/>
          <w:color w:val="1F6F4A"/>
          <w:sz w:val="36"/>
          <w:szCs w:val="36"/>
        </w:rPr>
        <w:t xml:space="preserve">9. Próximos passos imediatos</w:t>
      </w:r>
    </w:p>
    <w:p>
      <w:pPr>
        <w:spacing w:after="120" w:line="300"/>
        <w:jc w:val="left"/>
      </w:pPr>
      <w:r>
        <w:rPr>
          <w:rFonts w:ascii="Arial" w:cs="Arial" w:eastAsia="Arial" w:hAnsi="Arial"/>
          <w:sz w:val="22"/>
          <w:szCs w:val="22"/>
        </w:rPr>
        <w:t xml:space="preserve">Sequência recomendada para as próximas duas semanas, em ordem de prioridade:</w:t>
      </w:r>
    </w:p>
    <w:p>
      <w:pPr>
        <w:pStyle w:val="ListParagraph"/>
        <w:numPr>
          <w:ilvl w:val="0"/>
          <w:numId w:val="3"/>
        </w:numPr>
        <w:spacing w:after="80"/>
      </w:pPr>
      <w:r>
        <w:rPr>
          <w:rFonts w:ascii="Arial" w:cs="Arial" w:eastAsia="Arial" w:hAnsi="Arial"/>
          <w:sz w:val="22"/>
          <w:szCs w:val="22"/>
        </w:rPr>
        <w:t xml:space="preserve">Reservar e registrar três domínios candidatos hoje: gaia.earth, gaia.org.br e mapagaia.org. Custo total estimado: R$ 250–400/ano.</w:t>
      </w:r>
    </w:p>
    <w:p>
      <w:pPr>
        <w:pStyle w:val="ListParagraph"/>
        <w:numPr>
          <w:ilvl w:val="0"/>
          <w:numId w:val="3"/>
        </w:numPr>
        <w:spacing w:after="80"/>
      </w:pPr>
      <w:r>
        <w:rPr>
          <w:rFonts w:ascii="Arial" w:cs="Arial" w:eastAsia="Arial" w:hAnsi="Arial"/>
          <w:sz w:val="22"/>
          <w:szCs w:val="22"/>
        </w:rPr>
        <w:t xml:space="preserve">Criar a organização institutomouvuca no GitHub e o repositório vazio gaia. Definir AGPL-3.0 como licença e CODE_OF_CONDUCT padrão (Contributor Covenant).</w:t>
      </w:r>
    </w:p>
    <w:p>
      <w:pPr>
        <w:pStyle w:val="ListParagraph"/>
        <w:numPr>
          <w:ilvl w:val="0"/>
          <w:numId w:val="3"/>
        </w:numPr>
        <w:spacing w:after="80"/>
      </w:pPr>
      <w:r>
        <w:rPr>
          <w:rFonts w:ascii="Arial" w:cs="Arial" w:eastAsia="Arial" w:hAnsi="Arial"/>
          <w:sz w:val="22"/>
          <w:szCs w:val="22"/>
        </w:rPr>
        <w:t xml:space="preserve">Colar o prompt da Seção 4 no Cowork apontando para o repositório recém-criado e responder às quatro perguntas que ele vai devolver.</w:t>
      </w:r>
    </w:p>
    <w:p>
      <w:pPr>
        <w:pStyle w:val="ListParagraph"/>
        <w:numPr>
          <w:ilvl w:val="0"/>
          <w:numId w:val="3"/>
        </w:numPr>
        <w:spacing w:after="80"/>
      </w:pPr>
      <w:r>
        <w:rPr>
          <w:rFonts w:ascii="Arial" w:cs="Arial" w:eastAsia="Arial" w:hAnsi="Arial"/>
          <w:sz w:val="22"/>
          <w:szCs w:val="22"/>
        </w:rPr>
        <w:t xml:space="preserve">Validar o cronograma da Seção 5 com pelo menos um dev geo de confiança (sugestões: equipe do MapBiomas, IPÊ, ISA, IPAM) para sanidade de prazos.</w:t>
      </w:r>
    </w:p>
    <w:p>
      <w:pPr>
        <w:pStyle w:val="ListParagraph"/>
        <w:numPr>
          <w:ilvl w:val="0"/>
          <w:numId w:val="3"/>
        </w:numPr>
        <w:spacing w:after="80"/>
      </w:pPr>
      <w:r>
        <w:rPr>
          <w:rFonts w:ascii="Arial" w:cs="Arial" w:eastAsia="Arial" w:hAnsi="Arial"/>
          <w:sz w:val="22"/>
          <w:szCs w:val="22"/>
        </w:rPr>
        <w:t xml:space="preserve">Mapear o time mínimo: 1 dev full-stack, 1 dev geo, 1 designer part-time. Estimar R$ 35–55 mil/mês de folha em 12 semanas para captação inicial.</w:t>
      </w:r>
    </w:p>
    <w:p>
      <w:pPr>
        <w:pStyle w:val="ListParagraph"/>
        <w:numPr>
          <w:ilvl w:val="0"/>
          <w:numId w:val="3"/>
        </w:numPr>
        <w:spacing w:after="80"/>
      </w:pPr>
      <w:r>
        <w:rPr>
          <w:rFonts w:ascii="Arial" w:cs="Arial" w:eastAsia="Arial" w:hAnsi="Arial"/>
          <w:sz w:val="22"/>
          <w:szCs w:val="22"/>
        </w:rPr>
        <w:t xml:space="preserve">Preparar pitch curto (uma página) com a visão GAIA para captar R$ 250–400 mil para o MVP. Possíveis financiadores iniciais: Instituto Clima e Sociedade, BrazilFoundation, Fundação Grupo Boticário, Instituto Humanize, Fundo Casa, Re:Wild, Climate Justice Fund.</w:t>
      </w:r>
    </w:p>
    <w:p>
      <w:pPr>
        <w:pStyle w:val="ListParagraph"/>
        <w:numPr>
          <w:ilvl w:val="0"/>
          <w:numId w:val="3"/>
        </w:numPr>
        <w:spacing w:after="80"/>
      </w:pPr>
      <w:r>
        <w:rPr>
          <w:rFonts w:ascii="Arial" w:cs="Arial" w:eastAsia="Arial" w:hAnsi="Arial"/>
          <w:sz w:val="22"/>
          <w:szCs w:val="22"/>
        </w:rPr>
        <w:t xml:space="preserve">Identificar 2–3 universidades parceiras para o harvester de TCCs (UFSB, UFSCar e USP são candidatas óbvias) e fazer contato institucional para garantir acesso aos repositórios.</w:t>
      </w:r>
    </w:p>
    <w:p>
      <w:pPr>
        <w:pStyle w:val="ListParagraph"/>
        <w:numPr>
          <w:ilvl w:val="0"/>
          <w:numId w:val="3"/>
        </w:numPr>
        <w:spacing w:after="80"/>
      </w:pPr>
      <w:r>
        <w:rPr>
          <w:rFonts w:ascii="Arial" w:cs="Arial" w:eastAsia="Arial" w:hAnsi="Arial"/>
          <w:sz w:val="22"/>
          <w:szCs w:val="22"/>
        </w:rPr>
        <w:t xml:space="preserve">Listar 5–10 especialistas de referência (mastozoologia, herpetologia, hidrologia, etnobotânica, restauração florestal) para serem convidados ao painel de curadoria na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339" w:sz="6"/>
              <w:left w:val="single" w:color="8FB339" w:sz="6"/>
              <w:bottom w:val="single" w:color="8FB339" w:sz="6"/>
              <w:right w:val="single" w:color="8FB339" w:sz="6"/>
            </w:tcBorders>
            <w:shd w:fill="F1F5F0" w:val="clear"/>
            <w:tcMar>
              <w:top w:type="dxa" w:w="160"/>
              <w:left w:type="dxa" w:w="220"/>
              <w:bottom w:type="dxa" w:w="160"/>
              <w:right w:type="dxa" w:w="220"/>
            </w:tcMar>
          </w:tcPr>
          <w:p>
            <w:pPr>
              <w:spacing w:after="80"/>
            </w:pPr>
            <w:r>
              <w:rPr>
                <w:rFonts w:ascii="Arial" w:cs="Arial" w:eastAsia="Arial" w:hAnsi="Arial"/>
                <w:b/>
                <w:bCs/>
                <w:color w:val="1F6F4A"/>
                <w:sz w:val="22"/>
                <w:szCs w:val="22"/>
              </w:rPr>
              <w:t xml:space="preserve">Próxima ação</w:t>
            </w:r>
          </w:p>
          <w:p>
            <w:r>
              <w:rPr>
                <w:rFonts w:ascii="Arial" w:cs="Arial" w:eastAsia="Arial" w:hAnsi="Arial"/>
                <w:sz w:val="22"/>
                <w:szCs w:val="22"/>
              </w:rPr>
              <w:t xml:space="preserve">Se quiser, eu posso transformar a Seção 4 deste documento em um arquivo .md separado (pronto para colar) e gerar também o pitch de uma página para captação. É só pedir.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7280"/>
        <w:sz w:val="18"/>
        <w:szCs w:val="18"/>
      </w:rPr>
      <w:t xml:space="preserve">GAIA — Briefing &amp; MVP</w:t>
    </w:r>
    <w:r>
      <w:rPr>
        <w:rFonts w:ascii="Arial" w:cs="Arial" w:eastAsia="Arial" w:hAnsi="Arial"/>
        <w:color w:val="6B7280"/>
        <w:sz w:val="18"/>
        <w:szCs w:val="18"/>
      </w:rPr>
      <w:t xml:space="preserve">	Instituto Mouvuca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6F4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6F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2026-04-30T09:52:50.425Z</dcterms:created>
  <dcterms:modified xsi:type="dcterms:W3CDTF">2026-04-30T09:52:50.426Z</dcterms:modified>
</cp:coreProperties>
</file>

<file path=docProps/custom.xml><?xml version="1.0" encoding="utf-8"?>
<Properties xmlns="http://schemas.openxmlformats.org/officeDocument/2006/custom-properties" xmlns:vt="http://schemas.openxmlformats.org/officeDocument/2006/docPropsVTypes"/>
</file>