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0.png" ContentType="image/png"/>
  <Override PartName="/word/media/rId35.png" ContentType="image/png"/>
  <Override PartName="/word/media/rId38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23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Boletim</w:t>
      </w:r>
      <w:r>
        <w:t xml:space="preserve"> </w:t>
      </w:r>
      <w:r>
        <w:t xml:space="preserve">Sou</w:t>
      </w:r>
      <w:r>
        <w:t xml:space="preserve"> </w:t>
      </w:r>
      <w:r>
        <w:t xml:space="preserve">da</w:t>
      </w:r>
      <w:r>
        <w:t xml:space="preserve"> </w:t>
      </w:r>
      <w:r>
        <w:t xml:space="preserve">Paz</w:t>
      </w:r>
      <w:r>
        <w:t xml:space="preserve"> </w:t>
      </w:r>
      <w:r>
        <w:t xml:space="preserve">Analisa</w:t>
      </w:r>
      <w:r>
        <w:t xml:space="preserve"> </w:t>
      </w:r>
      <w:r>
        <w:t xml:space="preserve">2022</w:t>
      </w:r>
      <w:r>
        <w:t xml:space="preserve"> </w:t>
      </w:r>
      <w:r>
        <w:t xml:space="preserve">-</w:t>
      </w:r>
      <w:r>
        <w:t xml:space="preserve"> </w:t>
      </w:r>
      <w:r>
        <w:t xml:space="preserve">Panorama</w:t>
      </w:r>
    </w:p>
    <w:p>
      <w:pPr>
        <w:pStyle w:val="Author"/>
      </w:pPr>
      <w:r>
        <w:t xml:space="preserve">Instituto</w:t>
      </w:r>
      <w:r>
        <w:t xml:space="preserve"> </w:t>
      </w:r>
      <w:r>
        <w:t xml:space="preserve">Sou</w:t>
      </w:r>
      <w:r>
        <w:t xml:space="preserve"> </w:t>
      </w:r>
      <w:r>
        <w:t xml:space="preserve">da</w:t>
      </w:r>
      <w:r>
        <w:t xml:space="preserve"> </w:t>
      </w:r>
      <w:r>
        <w:t xml:space="preserve">Paz</w:t>
      </w:r>
    </w:p>
    <w:p>
      <w:pPr>
        <w:pStyle w:val="Date"/>
      </w:pPr>
      <w:r>
        <w:t xml:space="preserve">2023-03-24</w:t>
      </w:r>
    </w:p>
    <w:p>
      <w:pPr>
        <w:pStyle w:val="Estilo2"/>
      </w:pPr>
      <w:r>
        <w:t xml:space="preserve">APRESENTAÇÃO</w:t>
      </w:r>
    </w:p>
    <w:p>
      <w:pPr>
        <w:pStyle w:val="BodyText"/>
      </w:pPr>
      <w:r>
        <w:t xml:space="preserve">O Instituto Sou da Paz acompanha as estatísticas criminais divulgadas pela Secretaria da Segurança Pública de São Paulo (SSP/SP) desde 2012, a fim de contribuir para a melhor compreensão das dinâmicas criminais e atividades policiais no estado de São Paulo e em suas grandes regiões - Capital, Grande São Paulo e Interior.</w:t>
      </w:r>
      <w:r>
        <w:t xml:space="preserve"> </w:t>
      </w:r>
      <w:r>
        <w:t xml:space="preserve">Além dos dados mensal e trimestralmente divulgados pela SSP/SP, são consideradas informações produzidas pelas Corregedorias das Polícias Civil e Militar do Estado de São Paulo publicadas no Diário Oficial.</w:t>
      </w:r>
      <w:r>
        <w:t xml:space="preserve"> </w:t>
      </w:r>
      <w:r>
        <w:t xml:space="preserve">Nesta edição do Sou da Paz Analisa, damos destaque aos casos de extorsão mediante sequestro, que tiveram aumento de 143,5% em 2022, comparado ao ano anterior.</w:t>
      </w:r>
      <w:r>
        <w:t xml:space="preserve"> </w:t>
      </w:r>
      <w:r>
        <w:t xml:space="preserve">Nesta modalidade de crime, são registrados os casos que ficaram popularmente conhecidos como</w:t>
      </w:r>
      <w:r>
        <w:t xml:space="preserve"> </w:t>
      </w:r>
      <w:r>
        <w:t xml:space="preserve">“</w:t>
      </w:r>
      <w:r>
        <w:t xml:space="preserve">golpe do pix</w:t>
      </w:r>
      <w:r>
        <w:t xml:space="preserve">”</w:t>
      </w:r>
      <w:r>
        <w:t xml:space="preserve">, dinâmica criminal que vem se popularizando desde 2020.</w:t>
      </w:r>
      <w:r>
        <w:t xml:space="preserve"> </w:t>
      </w:r>
      <w:r>
        <w:t xml:space="preserve">Nos crimes de letalidade violenta, as mortes cometidas por policiais em serviço reduziram em -39% no período.</w:t>
      </w:r>
      <w:r>
        <w:t xml:space="preserve"> </w:t>
      </w:r>
      <w:r>
        <w:t xml:space="preserve">Os casos de homicídio doloso aumentaram em 7,2%, com destaque para a região da Grande São Paulo, com representativos 21,2% de casos a mais registrados em 2022.</w:t>
      </w:r>
      <w:r>
        <w:t xml:space="preserve"> </w:t>
      </w:r>
      <w:r>
        <w:t xml:space="preserve">Os casos de latrocínio aumentaram em 46,5%.</w:t>
      </w:r>
      <w:r>
        <w:t xml:space="preserve"> </w:t>
      </w:r>
      <w:r>
        <w:t xml:space="preserve">Os casos de violência contra a mulher, mais especificamente a modalidade de lesão corporal, vêm aumentando de maneira substancial.</w:t>
      </w:r>
      <w:r>
        <w:t xml:space="preserve"> </w:t>
      </w:r>
      <w:r>
        <w:t xml:space="preserve">As pessoas vulneráveis foram as maiores vitimadas nos casos de estupro registrados em 2022, representando 77% do total dos casos.</w:t>
      </w:r>
      <w:r>
        <w:t xml:space="preserve"> </w:t>
      </w:r>
      <w:r>
        <w:t xml:space="preserve">As dinâmicas de roubo voltaram a subir, com destaque para a Capital, com 12,4% de novos casos no período.</w:t>
      </w:r>
    </w:p>
    <w:p>
      <w:r>
        <w:br w:type="page"/>
      </w:r>
    </w:p>
    <w:p>
      <w:pPr>
        <w:pStyle w:val="Estilo2"/>
      </w:pPr>
      <w:r>
        <w:t xml:space="preserve">Criminalidade Violenta</w:t>
      </w:r>
    </w:p>
    <w:p>
      <w:pPr>
        <w:pStyle w:val="BodyText"/>
      </w:pPr>
      <w:r>
        <w:drawing>
          <wp:inline>
            <wp:extent cx="7392202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latorio_anual_2022_files/figure-docx/crimes%20violento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202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 2022, a criminalidade violenta no estado de São Paulo apresentou aumento em todos os tipos criminais analisados, porém a extorsão mediante sequestro é, entre todos, o crime que teve o maior acréscimo, dobrando o número de casos na comparação entre os anos de 2021 e 2022.</w:t>
      </w:r>
      <w:r>
        <w:t xml:space="preserve"> </w:t>
      </w:r>
      <w:r>
        <w:t xml:space="preserve">Esta elevação pode ter como um dos principais fatores uma nova dinâmica, chamada de</w:t>
      </w:r>
      <w:r>
        <w:t xml:space="preserve"> </w:t>
      </w:r>
      <w:r>
        <w:t xml:space="preserve">“</w:t>
      </w:r>
      <w:r>
        <w:t xml:space="preserve">sequestros do pix</w:t>
      </w:r>
      <w:r>
        <w:t xml:space="preserve">”</w:t>
      </w:r>
      <w:r>
        <w:t xml:space="preserve">, modalidade de crime que surgiu com o advento da tecnologia de transferências monetárias de forma imediata, o pix, lançado pelo Banco Central em 2020.</w:t>
      </w:r>
      <w:r>
        <w:t xml:space="preserve"> </w:t>
      </w:r>
      <w:r>
        <w:t xml:space="preserve">O aumento no número total de ocorrências no ano de 2022 também se atrela ao fim das políticas de redução de circulação social e da campanha de vacinação contra Covid-19 que, ao longo dos anos de 2020 e 2021, reduziram o número de pessoas em circulação nas ruas.</w:t>
      </w:r>
      <w:r>
        <w:t xml:space="preserve"> </w:t>
      </w:r>
      <w:r>
        <w:t xml:space="preserve">Ao observarmos outros crimes, também é constatado o aumento nos números de casos, como o estrupo com um acréscimo de 7,3% de registros — mantendo o total agregado acima de 10.000 casos desde a pandemia de Covid-19 —, e o latrocínio e homicídios dolosos que apresentaram aumentos de 7,3% e 7,2%, respectivamente, mas com pouca variação bruta.</w:t>
      </w:r>
    </w:p>
    <w:p>
      <w:r>
        <w:br w:type="page"/>
      </w:r>
    </w:p>
    <w:p>
      <w:pPr>
        <w:pStyle w:val="Estilo2"/>
      </w:pPr>
      <w:r>
        <w:t xml:space="preserve">Letalidade Violenta</w:t>
      </w:r>
    </w:p>
    <w:p>
      <w:pPr>
        <w:pStyle w:val="BodyText"/>
      </w:pPr>
      <w:r>
        <w:drawing>
          <wp:inline>
            <wp:extent cx="7392202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elatorio_anual_2022_files/figure-docx/letalidade%20violenta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202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mortes cometidas por policiais em serviço reduziram significativamente no estado de São Paulo em 2022.</w:t>
      </w:r>
      <w:r>
        <w:t xml:space="preserve"> </w:t>
      </w:r>
      <w:r>
        <w:t xml:space="preserve">Foram -39% de mortes registradas, comparado ao ano anterior.</w:t>
      </w:r>
      <w:r>
        <w:t xml:space="preserve"> </w:t>
      </w:r>
      <w:r>
        <w:t xml:space="preserve">Em contrapartida, os casos de mortes cometidas por policiais fora de serviço aumentaram em 8% no período analisado, mantendo caráter oscilatório, após queda notável ocorrida em 2019 .</w:t>
      </w:r>
      <w:r>
        <w:t xml:space="preserve"> </w:t>
      </w:r>
      <w:r>
        <w:t xml:space="preserve">Os casos de latrocínio aumentaram em 24%.</w:t>
      </w:r>
      <w:r>
        <w:t xml:space="preserve"> </w:t>
      </w:r>
      <w:r>
        <w:t xml:space="preserve">Num panorama do total de vítimas, houve pouca variação (2%), fenômeno que pode ser explicado se observado a redução dos casos de mortos pela polícia em serviço e o aumento de latrocínios no estado.</w:t>
      </w:r>
    </w:p>
    <w:p>
      <w:r>
        <w:br w:type="page"/>
      </w:r>
    </w:p>
    <w:p>
      <w:pPr>
        <w:pStyle w:val="Estilo1"/>
      </w:pPr>
      <w:r>
        <w:t xml:space="preserve">Homicídios</w:t>
      </w:r>
    </w:p>
    <w:p>
      <w:pPr>
        <w:pStyle w:val="BodyText"/>
      </w:pPr>
      <w:r>
        <w:drawing>
          <wp:inline>
            <wp:extent cx="7392202" cy="415811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latorio_anual_2022_files/figure-docx/homicidios%20macroreg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202" cy="415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Os casos de homicídio doloso seguem com suas variações, que podem ser observadas desde o início da série histórica.</w:t>
      </w:r>
      <w:r>
        <w:t xml:space="preserve"> </w:t>
      </w:r>
      <w:r>
        <w:t xml:space="preserve">Ao comparar o ano de 2022 com 2018, é notada uma redução mínima de -1,4% de casos registrados.</w:t>
      </w:r>
      <w:r>
        <w:t xml:space="preserve"> </w:t>
      </w:r>
      <w:r>
        <w:t xml:space="preserve">Já comparado com 2019, ano pré-pandemia de covid-19, houve aumento de 4,7%.</w:t>
      </w:r>
      <w:r>
        <w:t xml:space="preserve"> </w:t>
      </w:r>
      <w:r>
        <w:t xml:space="preserve">Entre 2022 e 2020, ano em que ocorreram diversas mudanças no comportamento da sociedade em decorrência da pandemia, notamos aumento de 0,6% nos casos de homicídio no estado de São Paulo.</w:t>
      </w:r>
      <w:r>
        <w:t xml:space="preserve"> </w:t>
      </w:r>
      <w:r>
        <w:t xml:space="preserve">Neste período, destaca-se somente a redução da Capital, região em manteve diversas políticas de isolamento social, com -15% de casos registrados.</w:t>
      </w:r>
      <w:r>
        <w:t xml:space="preserve"> </w:t>
      </w:r>
      <w:r>
        <w:t xml:space="preserve">Em 2022, os casos voltaram a subir de maneira notável, com 7,2% de casos de homicídios a mais registrados em São Paulo.</w:t>
      </w:r>
      <w:r>
        <w:t xml:space="preserve"> </w:t>
      </w:r>
      <w:r>
        <w:t xml:space="preserve">O destaque fica com a região da Grande São Paulo, que teve 21,2% de casos a mais no período analisado.</w:t>
      </w:r>
      <w:r>
        <w:t xml:space="preserve"> </w:t>
      </w:r>
      <w:r>
        <w:t xml:space="preserve">No Interior, houve aumento de 5,6% e na Capital, queda de -0,5%.</w:t>
      </w:r>
      <w:r>
        <w:t xml:space="preserve"> </w:t>
      </w:r>
      <w:r>
        <w:t xml:space="preserve">Com esta série é possível constatar que o período pandêmico sofrido entre os anos de 2020 e 2021 não afetou os índices de homicídio doloso no estado de São Paulo, visto que houve pouca variação se comparado aos anos que antecederam a pandemia.</w:t>
      </w:r>
    </w:p>
    <w:p>
      <w:r>
        <w:br w:type="page"/>
      </w:r>
    </w:p>
    <w:p>
      <w:pPr>
        <w:pStyle w:val="Estilo1"/>
      </w:pPr>
      <w:r>
        <w:t xml:space="preserve">Latrocínio</w:t>
      </w:r>
    </w:p>
    <w:p>
      <w:pPr>
        <w:pStyle w:val="BodyText"/>
      </w:pPr>
      <w:r>
        <w:drawing>
          <wp:inline>
            <wp:extent cx="7392202" cy="415811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latorio_anual_2022_files/figure-docx/lat%20ocorrencia%20macroreg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202" cy="415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 2022 houveram 178 casos de latrocínios registrados pela polícia paulista, aumento de 7,6% se comparado ao ano anterior.</w:t>
      </w:r>
      <w:r>
        <w:t xml:space="preserve"> </w:t>
      </w:r>
      <w:r>
        <w:t xml:space="preserve">A Capital foi a região que apresentou maior alta no número de casos de latrocínio, saindo de 53 em 2021, para 63 em 2022, um salto de 18,8%.</w:t>
      </w:r>
      <w:r>
        <w:t xml:space="preserve"> </w:t>
      </w:r>
      <w:r>
        <w:t xml:space="preserve">Na comparação entre os anos de 2020 e 2022, não se observa redução significativa no total de casos, porém, a Capital tem o maior acréscimo (46,5%) observado no total de casos entre os dois anos, o que é explicado pela redução do número de pessoas em circulação nas ruas durante o ano de 2020 em razão da pandemia de Covid-19, cenário normalizado em 2022.</w:t>
      </w:r>
    </w:p>
    <w:p>
      <w:r>
        <w:br w:type="page"/>
      </w:r>
    </w:p>
    <w:p>
      <w:pPr>
        <w:pStyle w:val="Estilo1"/>
      </w:pPr>
      <w:r>
        <w:t xml:space="preserve">Lesão corporal mulheres</w:t>
      </w:r>
    </w:p>
    <w:p>
      <w:pPr>
        <w:pStyle w:val="BodyText"/>
      </w:pPr>
      <w:r>
        <w:drawing>
          <wp:inline>
            <wp:extent cx="7392202" cy="415811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elatorio_anual_2022_files/figure-docx/lesao%20mulheres%20macroreg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202" cy="415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Ao menos 52.672 casos de lesão corporal de mulheres foram registrados em 2022 no estado de São Paulo, um aumento residual de 1,38% em comparação a 2021.</w:t>
      </w:r>
      <w:r>
        <w:t xml:space="preserve"> </w:t>
      </w:r>
      <w:r>
        <w:t xml:space="preserve">Dentre as regiões analisadas, somente a Capital apresentou aumento em relação ao ano anterior, 3.909 casos a mais.</w:t>
      </w:r>
      <w:r>
        <w:t xml:space="preserve"> </w:t>
      </w:r>
      <w:r>
        <w:t xml:space="preserve">Tanto o Interior, quanto a Grande São Paulo tiveram queda nas notificações.</w:t>
      </w:r>
      <w:r>
        <w:t xml:space="preserve"> </w:t>
      </w:r>
      <w:r>
        <w:t xml:space="preserve">O aumento progressivo que vem sendo observado desde então denota a urgência de se pensar políticas públicas para a redução efetiva dos casos de lesão corporal contra a mulher.</w:t>
      </w:r>
      <w:r>
        <w:t xml:space="preserve"> </w:t>
      </w:r>
    </w:p>
    <w:p>
      <w:pPr>
        <w:pStyle w:val="Estilo1"/>
      </w:pPr>
      <w:r>
        <w:t xml:space="preserve">Estupro</w:t>
      </w:r>
    </w:p>
    <w:p>
      <w:pPr>
        <w:pStyle w:val="BodyText"/>
      </w:pPr>
      <w:r>
        <w:drawing>
          <wp:inline>
            <wp:extent cx="7392202" cy="415811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elatorio_anual_2022_files/figure-docx/estupro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202" cy="415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Os casos de estupro aumentaram 7,3% em comparação a 2021, e uma variação geral no período de 2019 a 2022 de 1,9%.</w:t>
      </w:r>
      <w:r>
        <w:t xml:space="preserve"> </w:t>
      </w:r>
      <w:r>
        <w:t xml:space="preserve">A tendência de crescimento nos casos de violência sexual também se confirma entre estupro de vulneráveis, que aumentou 5,4% para o mesmo período.</w:t>
      </w:r>
      <w:r>
        <w:t xml:space="preserve"> </w:t>
      </w:r>
      <w:r>
        <w:t xml:space="preserve">Entre 2021 e 2022, foram registrados 715 casos a mais de estupro de vulnerável, uma média 2 casos registrados por dia no estado.</w:t>
      </w:r>
      <w:r>
        <w:t xml:space="preserve"> </w:t>
      </w:r>
      <w:r>
        <w:t xml:space="preserve">Somente na Capital houve redução nas ocorrências estupro (de vulnerável ou não), respectivamente, de -8,1% e -4,7%.</w:t>
      </w:r>
      <w:r>
        <w:t xml:space="preserve"> </w:t>
      </w:r>
      <w:r>
        <w:t xml:space="preserve">Na Grande São Paulo, o aumento foi de 5,8% para vulnerável, e 7,8% para estupro em geral, enquanto no Interior houve aumento de 4,3% nos casos de estupro, e 8,1% nos casos de estupro de vulnerável entre 2018 e 2022.</w:t>
      </w:r>
      <w:r>
        <w:t xml:space="preserve"> </w:t>
      </w:r>
      <w:r>
        <w:t xml:space="preserve">O estupro de vulneráveis (contra vítimas menores de 14 anos ou pessoas cujas condições de saúde as impedem de discernir o ato sexual) compõe 77% do total dos casos de estupros registrados em 2022.</w:t>
      </w:r>
    </w:p>
    <w:p>
      <w:r>
        <w:br w:type="page"/>
      </w:r>
    </w:p>
    <w:p>
      <w:pPr>
        <w:pStyle w:val="Estilo1"/>
      </w:pPr>
      <w:r>
        <w:t xml:space="preserve">Feminicídio</w:t>
      </w:r>
    </w:p>
    <w:p>
      <w:pPr>
        <w:pStyle w:val="BodyText"/>
      </w:pPr>
      <w:r>
        <w:drawing>
          <wp:inline>
            <wp:extent cx="7392202" cy="415811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elatorio_anual_2022_files/figure-docx/feminicídio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202" cy="415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Os casos de feminicídio também aumentaram 27% em 2022, alcançando o maior patamar dos último quatro anos.</w:t>
      </w:r>
      <w:r>
        <w:t xml:space="preserve"> </w:t>
      </w:r>
      <w:r>
        <w:t xml:space="preserve">Dentre eles, 24,60% foram cometidos na Grande São Paulo, 19,7% na Capital e 55,6% no Interior.</w:t>
      </w:r>
    </w:p>
    <w:p>
      <w:r>
        <w:br w:type="page"/>
      </w:r>
    </w:p>
    <w:p>
      <w:pPr>
        <w:pStyle w:val="Estilo1"/>
      </w:pPr>
      <w:r>
        <w:t xml:space="preserve">Total de Roubos</w:t>
      </w:r>
    </w:p>
    <w:p>
      <w:pPr>
        <w:pStyle w:val="BodyText"/>
      </w:pPr>
      <w:r>
        <w:drawing>
          <wp:inline>
            <wp:extent cx="7392202" cy="415811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latorio_anual_2022_files/figure-docx/roubo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202" cy="415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ano de 2022 terminou com um total de 286.573 casos de roubos (outros) em todo o estado de São Paulo, 10,75% maior que o total do ano anterior, que fechou com 258.747 casos registrados pela polícia, com a Capital paulista demonstrando o maior aumento percentual dentre todas ass regiões do estado, crescimento de 12,4%.</w:t>
      </w:r>
      <w:r>
        <w:t xml:space="preserve"> </w:t>
      </w:r>
      <w:r>
        <w:t xml:space="preserve">Este aumento também é elevado quando se compara os totais de 2020 com 2022, apresentando um aumento de 14,30%, o que pode se inferir sendo um reflexo da pandemia de Covid-19, que durante o ano de 2020 teve seu maior pico de contágio e as políticas de redução de livre circulação de maior rigor, diminuindo a quantidade de pessoas em movimento nas ruas, o que em 2022 não é mais observado, com a população voltando completamente à circulação.</w:t>
      </w:r>
    </w:p>
    <w:p>
      <w:r>
        <w:br w:type="page"/>
      </w:r>
    </w:p>
    <w:p>
      <w:pPr>
        <w:pStyle w:val="Estilo1"/>
      </w:pPr>
      <w:r>
        <w:t xml:space="preserve">Letalidade policial em serviço e em folga</w:t>
      </w:r>
    </w:p>
    <w:p>
      <w:pPr>
        <w:pStyle w:val="BodyText"/>
      </w:pPr>
      <w:r>
        <w:t xml:space="preserve">As mortes cometidas por policiais em serviço reduziram substancialmente após as políticas e novas práticas adotadas pelas polícias (como as câmeras corporais, em 2020).</w:t>
      </w:r>
      <w:r>
        <w:t xml:space="preserve"> </w:t>
      </w:r>
      <w:r>
        <w:t xml:space="preserve">Em contrapartida, as mortes cometidas fora de serviço seguem em caráter de de estabilidade, com notável aumento de 8,4% nos casos registrados em 2022, comparado ao ano anterior.</w:t>
      </w:r>
      <w:r>
        <w:t xml:space="preserve"> </w:t>
      </w:r>
      <w:r>
        <w:t xml:space="preserve">Os casos de vitimização de policiais em folga tiveram atenuado aumento.</w:t>
      </w:r>
      <w:r>
        <w:t xml:space="preserve"> </w:t>
      </w:r>
      <w:r>
        <w:t xml:space="preserve">Foram 52,9% de casos a mais em 2022 comparado a 2021.</w:t>
      </w:r>
      <w:r>
        <w:t xml:space="preserve"> </w:t>
      </w:r>
      <w:r>
        <w:t xml:space="preserve">Já durante o serviço, foram -12,5% de casos registrados.</w:t>
      </w:r>
      <w:r>
        <w:t xml:space="preserve"> </w:t>
      </w:r>
      <w:r>
        <w:t xml:space="preserve">O aumento de mortes cometidas por policiais fora de serviço e de policiais vitimados em folga podem apresentar uma nova dinâmica que necessita de atenção.</w:t>
      </w:r>
      <w:r>
        <w:t xml:space="preserve"> </w:t>
      </w:r>
      <w:r>
        <w:t xml:space="preserve">É necessário verificar as dinâmicas dos fatos (se houve conflito ou outro tipo de delito) e em local aquele policial ocupava no momento da morte cometida ou vitimada (se tentava conter um assalto, ou se fora vítima de assalto, por exemplo).</w:t>
      </w:r>
      <w:r>
        <w:t xml:space="preserve"> </w:t>
      </w:r>
      <w:r>
        <w:t xml:space="preserve">Analisar tais dinâmicas e compreender como a sociedade tem se movimentado para as gestões governamentais manterem o compromisso com a redução dos homicídios no estado.</w:t>
      </w:r>
    </w:p>
    <w:p>
      <w:pPr>
        <w:pStyle w:val="BodyText"/>
      </w:pPr>
      <w:r>
        <w:drawing>
          <wp:inline>
            <wp:extent cx="8316227" cy="554415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Relatorio_anual_2022_files/figure-docx/letalidade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227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8316227" cy="554415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elatorio_anual_2022_files/figure-docx/letalidade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227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Estilo1"/>
      </w:pPr>
      <w:r>
        <w:t xml:space="preserve">Raça e idade das vitímas MDIP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cor_pele_agregada     n</w:t>
      </w:r>
      <w:r>
        <w:br/>
      </w:r>
      <w:r>
        <w:rPr>
          <w:rStyle w:val="VerbatimChar"/>
        </w:rPr>
        <w:t xml:space="preserve">##   &lt;chr&gt;             &lt;int&gt;</w:t>
      </w:r>
      <w:r>
        <w:br/>
      </w:r>
      <w:r>
        <w:rPr>
          <w:rStyle w:val="VerbatimChar"/>
        </w:rPr>
        <w:t xml:space="preserve">## 1 Branca             1216</w:t>
      </w:r>
      <w:r>
        <w:br/>
      </w:r>
      <w:r>
        <w:rPr>
          <w:rStyle w:val="VerbatimChar"/>
        </w:rPr>
        <w:t xml:space="preserve">## 2 NA                   86</w:t>
      </w:r>
      <w:r>
        <w:br/>
      </w:r>
      <w:r>
        <w:rPr>
          <w:rStyle w:val="VerbatimChar"/>
        </w:rPr>
        <w:t xml:space="preserve">## 3 Negra              2215</w:t>
      </w:r>
    </w:p>
    <w:p>
      <w:pPr>
        <w:pStyle w:val="FirstParagraph"/>
      </w:pPr>
      <w:r>
        <w:drawing>
          <wp:inline>
            <wp:extent cx="8316227" cy="554415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Relatorio_anual_2022_files/figure-docx/raça%20e%20idade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227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42DC" w:rsidSect="006078E3">
      <w:headerReference r:id="rId9" w:type="default"/>
      <w:pgSz w:h="11906" w:orient="landscape" w:w="16838"/>
      <w:pgMar w:bottom="720" w:footer="567" w:gutter="0" w:header="56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78E3" w:rsidRDefault="006078E3" w:rsidP="006078E3">
    <w:pPr>
      <w:pStyle w:val="Cabealho"/>
      <w:jc w:val="right"/>
      <w:rPr>
        <w:rFonts w:ascii="Trebuchet MS" w:hAnsi="Trebuchet MS" w:cstheme="majorHAnsi"/>
        <w:b/>
        <w:color w:val="2F5496" w:themeColor="accent1" w:themeShade="BF"/>
        <w:szCs w:val="24"/>
      </w:rPr>
    </w:pPr>
    <w:r w:rsidRPr="006078E3">
      <w:rPr>
        <w:rFonts w:ascii="Trebuchet MS" w:hAnsi="Trebuchet MS" w:cstheme="majorHAnsi"/>
        <w:b/>
        <w:color w:val="2F5496" w:themeColor="accent1" w:themeShade="BF"/>
        <w:szCs w:val="24"/>
      </w:rPr>
      <w:t>SOU DA PAZ ANALISA |PANORAMA 2022</w:t>
    </w:r>
  </w:p>
  <w:p w:rsidR="00B042DC" w:rsidRDefault="00B042DC" w:rsidP="006078E3">
    <w:pPr>
      <w:pStyle w:val="Cabealho"/>
      <w:jc w:val="right"/>
      <w:rPr>
        <w:rFonts w:ascii="Trebuchet MS" w:hAnsi="Trebuchet MS" w:cstheme="majorHAnsi"/>
        <w:b/>
        <w:color w:val="2F5496" w:themeColor="accent1" w:themeShade="BF"/>
        <w:szCs w:val="24"/>
      </w:rPr>
    </w:pPr>
  </w:p>
  <w:p w:rsidR="00B042DC" w:rsidRPr="006078E3" w:rsidRDefault="00B042DC" w:rsidP="006078E3">
    <w:pPr>
      <w:pStyle w:val="Cabealho"/>
      <w:jc w:val="right"/>
      <w:rPr>
        <w:rFonts w:ascii="Trebuchet MS" w:hAnsi="Trebuchet MS" w:cstheme="majorHAnsi"/>
        <w:b/>
        <w:color w:val="2F5496" w:themeColor="accent1" w:themeShade="BF"/>
        <w:szCs w:val="24"/>
      </w:rPr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pt-BR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9D6AFC"/>
    <w:rPr>
      <w:sz w:val="24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abealho" w:type="paragraph">
    <w:name w:val="header"/>
    <w:basedOn w:val="Normal"/>
    <w:link w:val="CabealhoChar"/>
    <w:uiPriority w:val="99"/>
    <w:unhideWhenUsed/>
    <w:rsid w:val="006078E3"/>
    <w:pPr>
      <w:tabs>
        <w:tab w:pos="4252" w:val="center"/>
        <w:tab w:pos="8504" w:val="right"/>
      </w:tabs>
      <w:spacing w:after="0" w:line="240" w:lineRule="auto"/>
    </w:pPr>
  </w:style>
  <w:style w:customStyle="1" w:styleId="CabealhoChar" w:type="character">
    <w:name w:val="Cabeçalho Char"/>
    <w:basedOn w:val="Fontepargpadro"/>
    <w:link w:val="Cabealho"/>
    <w:uiPriority w:val="99"/>
    <w:rsid w:val="006078E3"/>
  </w:style>
  <w:style w:styleId="Rodap" w:type="paragraph">
    <w:name w:val="footer"/>
    <w:basedOn w:val="Normal"/>
    <w:link w:val="RodapChar"/>
    <w:uiPriority w:val="99"/>
    <w:unhideWhenUsed/>
    <w:rsid w:val="006078E3"/>
    <w:pPr>
      <w:tabs>
        <w:tab w:pos="4252" w:val="center"/>
        <w:tab w:pos="8504" w:val="right"/>
      </w:tabs>
      <w:spacing w:after="0" w:line="240" w:lineRule="auto"/>
    </w:pPr>
  </w:style>
  <w:style w:customStyle="1" w:styleId="RodapChar" w:type="character">
    <w:name w:val="Rodapé Char"/>
    <w:basedOn w:val="Fontepargpadro"/>
    <w:link w:val="Rodap"/>
    <w:uiPriority w:val="99"/>
    <w:rsid w:val="006078E3"/>
  </w:style>
  <w:style w:customStyle="1" w:styleId="Estilo1" w:type="paragraph">
    <w:name w:val="Estilo1"/>
    <w:basedOn w:val="Normal"/>
    <w:link w:val="Estilo1Char"/>
    <w:qFormat/>
    <w:rsid w:val="00B042DC"/>
    <w:rPr>
      <w:rFonts w:ascii="Trebuchet MS" w:hAnsi="Trebuchet MS"/>
      <w:color w:themeColor="accent1" w:themeShade="BF" w:val="2F5496"/>
      <w:sz w:val="32"/>
      <w:szCs w:val="32"/>
    </w:rPr>
  </w:style>
  <w:style w:customStyle="1" w:styleId="Estilo2" w:type="paragraph">
    <w:name w:val="Estilo2"/>
    <w:basedOn w:val="Normal"/>
    <w:link w:val="Estilo2Char"/>
    <w:qFormat/>
    <w:rsid w:val="00B042DC"/>
    <w:rPr>
      <w:rFonts w:ascii="Trebuchet MS" w:hAnsi="Trebuchet MS"/>
      <w:color w:themeColor="accent1" w:val="4472C4"/>
      <w:sz w:val="28"/>
      <w:szCs w:val="28"/>
    </w:rPr>
  </w:style>
  <w:style w:customStyle="1" w:styleId="Estilo1Char" w:type="character">
    <w:name w:val="Estilo1 Char"/>
    <w:basedOn w:val="Fontepargpadro"/>
    <w:link w:val="Estilo1"/>
    <w:rsid w:val="00B042DC"/>
    <w:rPr>
      <w:rFonts w:ascii="Trebuchet MS" w:hAnsi="Trebuchet MS"/>
      <w:color w:themeColor="accent1" w:themeShade="BF" w:val="2F5496"/>
      <w:sz w:val="32"/>
      <w:szCs w:val="32"/>
    </w:rPr>
  </w:style>
  <w:style w:customStyle="1" w:styleId="Estilo3" w:type="paragraph">
    <w:name w:val="Estilo3"/>
    <w:basedOn w:val="Normal"/>
    <w:link w:val="Estilo3Char"/>
    <w:qFormat/>
    <w:rsid w:val="00B042DC"/>
    <w:rPr>
      <w:rFonts w:ascii="Trebuchet MS" w:hAnsi="Trebuchet MS"/>
      <w:b/>
      <w:szCs w:val="24"/>
    </w:rPr>
  </w:style>
  <w:style w:customStyle="1" w:styleId="Estilo2Char" w:type="character">
    <w:name w:val="Estilo2 Char"/>
    <w:basedOn w:val="Fontepargpadro"/>
    <w:link w:val="Estilo2"/>
    <w:rsid w:val="00B042DC"/>
    <w:rPr>
      <w:rFonts w:ascii="Trebuchet MS" w:hAnsi="Trebuchet MS"/>
      <w:color w:themeColor="accent1" w:val="4472C4"/>
      <w:sz w:val="28"/>
      <w:szCs w:val="28"/>
    </w:rPr>
  </w:style>
  <w:style w:customStyle="1" w:styleId="Estilotextonormal" w:type="paragraph">
    <w:name w:val="Estilo texto normal"/>
    <w:basedOn w:val="Normal"/>
    <w:link w:val="EstilotextonormalChar"/>
    <w:qFormat/>
    <w:rsid w:val="00B042DC"/>
    <w:rPr>
      <w:rFonts w:ascii="Trebuchet MS" w:hAnsi="Trebuchet MS"/>
      <w:szCs w:val="24"/>
    </w:rPr>
  </w:style>
  <w:style w:customStyle="1" w:styleId="Estilo3Char" w:type="character">
    <w:name w:val="Estilo3 Char"/>
    <w:basedOn w:val="Fontepargpadro"/>
    <w:link w:val="Estilo3"/>
    <w:rsid w:val="00B042DC"/>
    <w:rPr>
      <w:rFonts w:ascii="Trebuchet MS" w:hAnsi="Trebuchet MS"/>
      <w:b/>
      <w:sz w:val="24"/>
      <w:szCs w:val="24"/>
    </w:rPr>
  </w:style>
  <w:style w:customStyle="1" w:styleId="EstilotextonormalChar" w:type="character">
    <w:name w:val="Estilo texto normal Char"/>
    <w:basedOn w:val="Fontepargpadro"/>
    <w:link w:val="Estilotextonormal"/>
    <w:rsid w:val="00B042DC"/>
    <w:rPr>
      <w:rFonts w:ascii="Trebuchet MS" w:hAnsi="Trebuchet MS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Boletim Sou da Paz Analisa 2022 - Panorama</dc:title>
  <dc:creator>Instituto Sou da Paz</dc:creator>
  <cp:keywords/>
  <dcterms:created xsi:type="dcterms:W3CDTF">2023-03-24T18:44:44Z</dcterms:created>
  <dcterms:modified xsi:type="dcterms:W3CDTF">2023-03-24T18:44:44Z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2023-03-24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