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TC Work Zone Locator</w:t>
      </w:r>
    </w:p>
    <w:p>
      <w:pPr>
        <w:jc w:val="center"/>
      </w:pPr>
      <w:r>
        <w:rPr>
          <w:i/>
          <w:iCs/>
          <w:sz w:val="24"/>
          <w:szCs w:val="24"/>
        </w:rPr>
        <w:t xml:space="preserve">Glossary of Terms</w:t>
      </w:r>
    </w:p>
    <w:p>
      <w:pPr>
        <w:spacing w:after="400"/>
        <w:jc w:val="center"/>
      </w:pPr>
      <w:r>
        <w:rPr>
          <w:sz w:val="22"/>
          <w:szCs w:val="22"/>
        </w:rPr>
        <w:t xml:space="preserve">RC 1.0</w:t>
      </w:r>
    </w:p>
    <w:p>
      <w:pPr>
        <w:pStyle w:val="Heading1"/>
      </w:pPr>
      <w:r>
        <w:t xml:space="preserve">1. Road &amp; SLK Terminology</w:t>
      </w:r>
    </w:p>
    <w:p>
      <w:pPr>
        <w:pStyle w:val="Heading2"/>
      </w:pPr>
      <w:r>
        <w:t xml:space="preserve">SLK (Straight Line Kilometre)</w:t>
      </w:r>
    </w:p>
    <w:p>
      <w:pPr>
        <w:spacing w:after="120"/>
      </w:pPr>
      <w:r>
        <w:t xml:space="preserve">A linear reference system used to identify locations along a road. SLK values increase from one end of the road to the other, providing a consistent method for locating features, signage, and work zones independent of GPS coordinates. For example, SLK 67.62 indicates a position 67.62 kilometres from the road's origin point.</w:t>
      </w:r>
    </w:p>
    <w:p>
      <w:pPr>
        <w:pStyle w:val="Heading2"/>
      </w:pPr>
      <w:r>
        <w:t xml:space="preserve">True Right</w:t>
      </w:r>
    </w:p>
    <w:p>
      <w:pPr>
        <w:spacing w:after="120"/>
      </w:pPr>
      <w:r>
        <w:t xml:space="preserve">The right side of a road when facing in the direction of increasing SLK values. In Western Australia, where traffic drives on the left, True Right corresponds to the lane traveling toward higher SLK values. When SLK is increasing, the driver is on the True Right side of the road.</w:t>
      </w:r>
    </w:p>
    <w:p>
      <w:pPr>
        <w:pStyle w:val="Heading2"/>
      </w:pPr>
      <w:r>
        <w:t xml:space="preserve">True Left</w:t>
      </w:r>
    </w:p>
    <w:p>
      <w:pPr>
        <w:spacing w:after="120"/>
      </w:pPr>
      <w:r>
        <w:t xml:space="preserve">The left side of a road when facing in the direction of increasing SLK values. In Western Australia, True Left corresponds to the lane traveling toward lower SLK values. When SLK is decreasing, the driver is on the True Left side of the road.</w:t>
      </w:r>
    </w:p>
    <w:p>
      <w:pPr>
        <w:pStyle w:val="Heading2"/>
      </w:pPr>
      <w:r>
        <w:t xml:space="preserve">Carriageway</w:t>
      </w:r>
    </w:p>
    <w:p>
      <w:pPr>
        <w:spacing w:after="120"/>
      </w:pPr>
      <w:r>
        <w:t xml:space="preserve">A section of road designated for traffic in a specific direction. MRWA records carriageways as:</w:t>
      </w:r>
    </w:p>
    <w:p>
      <w:pPr>
        <w:pStyle w:val="ListParagraph"/>
        <w:numPr>
          <w:ilvl w:val="0"/>
          <w:numId w:val="2"/>
        </w:numPr>
      </w:pPr>
      <w:r>
        <w:rPr>
          <w:b/>
          <w:bCs/>
        </w:rPr>
        <w:t xml:space="preserve">Single</w:t>
      </w:r>
      <w:r>
        <w:t xml:space="preserve"> - A road where both directions share the same surface without physical separation</w:t>
      </w:r>
    </w:p>
    <w:p>
      <w:pPr>
        <w:pStyle w:val="ListParagraph"/>
        <w:numPr>
          <w:ilvl w:val="0"/>
          <w:numId w:val="2"/>
        </w:numPr>
      </w:pPr>
      <w:r>
        <w:rPr>
          <w:b/>
          <w:bCs/>
        </w:rPr>
        <w:t xml:space="preserve">Right</w:t>
      </w:r>
      <w:r>
        <w:t xml:space="preserve"> - The right carriageway of a dual carriageway road (True Right)</w:t>
      </w:r>
    </w:p>
    <w:p>
      <w:pPr>
        <w:pStyle w:val="ListParagraph"/>
        <w:numPr>
          <w:ilvl w:val="0"/>
          <w:numId w:val="2"/>
        </w:numPr>
        <w:spacing w:after="120"/>
      </w:pPr>
      <w:r>
        <w:rPr>
          <w:b/>
          <w:bCs/>
        </w:rPr>
        <w:t xml:space="preserve">Left</w:t>
      </w:r>
      <w:r>
        <w:t xml:space="preserve"> - The left carriageway of a dual carriageway road (True Left)</w:t>
      </w:r>
    </w:p>
    <w:p>
      <w:pPr>
        <w:pStyle w:val="Heading2"/>
      </w:pPr>
      <w:r>
        <w:t xml:space="preserve">Single Carriageway</w:t>
      </w:r>
    </w:p>
    <w:p>
      <w:pPr>
        <w:spacing w:after="120"/>
      </w:pPr>
      <w:r>
        <w:t xml:space="preserve">A road where traffic in both directions travels on the same road surface, without a physical separation (median strip, barrier, or dividing strip) between opposing traffic flows. Speed limits are typically the same for both directions, though some single carriageways have direction-specific speed limits (see bidirectional speed zones).</w:t>
      </w:r>
    </w:p>
    <w:p>
      <w:pPr>
        <w:pStyle w:val="Heading2"/>
      </w:pPr>
      <w:r>
        <w:t xml:space="preserve">Dual Carriageway</w:t>
      </w:r>
    </w:p>
    <w:p>
      <w:pPr>
        <w:spacing w:after="120"/>
      </w:pPr>
      <w:r>
        <w:t xml:space="preserve">A road with separate carriageways for traffic traveling in opposite directions, separated by a physical median barrier, strip, or dividing strip. Speed limits may differ between carriageways.</w:t>
      </w:r>
    </w:p>
    <w:p>
      <w:pPr>
        <w:pStyle w:val="Heading2"/>
      </w:pPr>
      <w:r>
        <w:t xml:space="preserve">Road ID</w:t>
      </w:r>
    </w:p>
    <w:p>
      <w:pPr>
        <w:spacing w:after="120"/>
      </w:pPr>
      <w:r>
        <w:t xml:space="preserve">A unique identifier assigned to each road in the MRWA network. Typically consists of a letter prefix indicating road classification followed by a number (e.g., M031, H021, R045). The prefix indicates: M = Main Highway, H = Highway, R = Regional Road, L = Local Road.</w:t>
      </w:r>
    </w:p>
    <w:p>
      <w:pPr>
        <w:pStyle w:val="Heading1"/>
      </w:pPr>
      <w:r>
        <w:t xml:space="preserve">2. Speed Zone Terminology</w:t>
      </w:r>
    </w:p>
    <w:p>
      <w:pPr>
        <w:pStyle w:val="Heading2"/>
      </w:pPr>
      <w:r>
        <w:t xml:space="preserve">Speed Zone</w:t>
      </w:r>
    </w:p>
    <w:p>
      <w:pPr>
        <w:spacing w:after="120"/>
      </w:pPr>
      <w:r>
        <w:t xml:space="preserve">A defined section of road with a specific legal speed limit. Speed zones are recorded with start and end SLK values, the applicable speed limit, and the carriageway designation. Speed zones may change at sign locations, intersections, or road classification boundaries.</w:t>
      </w:r>
    </w:p>
    <w:p>
      <w:pPr>
        <w:pStyle w:val="Heading2"/>
      </w:pPr>
      <w:r>
        <w:t xml:space="preserve">Bidirectional Speed Zone</w:t>
      </w:r>
    </w:p>
    <w:p>
      <w:pPr>
        <w:spacing w:after="120"/>
      </w:pPr>
      <w:r>
        <w:t xml:space="preserve">A road section where different speed limits apply to different directions of travel. This can occur on single carriageways with double-sided signage or on dual carriageways with different limits per carriageway. For example, a 60 km/h zone for traffic entering town (True Right) and a 90 km/h zone for traffic leaving town (True Left).</w:t>
      </w:r>
    </w:p>
    <w:p>
      <w:pPr>
        <w:pStyle w:val="Heading2"/>
      </w:pPr>
      <w:r>
        <w:t xml:space="preserve">Speed Restriction Sign</w:t>
      </w:r>
    </w:p>
    <w:p>
      <w:pPr>
        <w:spacing w:after="120"/>
      </w:pPr>
      <w:r>
        <w:t xml:space="preserve">A regulatory sign (R4-1 series) displaying the legal speed limit for a road section. Speed restriction signs are typically located at the start of speed zones and may be single-sided (one limit) or double-sided (different limits for each direction).</w:t>
      </w:r>
    </w:p>
    <w:p>
      <w:pPr>
        <w:pStyle w:val="Heading2"/>
      </w:pPr>
      <w:r>
        <w:t xml:space="preserve">Lookahead</w:t>
      </w:r>
    </w:p>
    <w:p>
      <w:pPr>
        <w:spacing w:after="120"/>
      </w:pPr>
      <w:r>
        <w:t xml:space="preserve">A feature that predicts and displays upcoming speed zone changes before the driver reaches them. The lookahead calculation considers current speed and GPS lag compensation to provide advance warning of speed reductions, allowing drivers to adjust speed smoothly.</w:t>
      </w:r>
    </w:p>
    <w:p>
      <w:pPr>
        <w:pStyle w:val="Heading2"/>
      </w:pPr>
      <w:r>
        <w:t xml:space="preserve">GPS Lag Compensation</w:t>
      </w:r>
    </w:p>
    <w:p>
      <w:pPr>
        <w:spacing w:after="120"/>
      </w:pPr>
      <w:r>
        <w:t xml:space="preserve">A time offset (in seconds) added to the lookahead calculation to account for the inherent delay between actual position and GPS-reported position. Default is 0 seconds but can be adjusted for devices with known GPS lag.</w:t>
      </w:r>
    </w:p>
    <w:p>
      <w:pPr>
        <w:pStyle w:val="Heading1"/>
      </w:pPr>
      <w:r>
        <w:t xml:space="preserve">3. GPS &amp; Navigation Terminology</w:t>
      </w:r>
    </w:p>
    <w:p>
      <w:pPr>
        <w:pStyle w:val="Heading2"/>
      </w:pPr>
      <w:r>
        <w:t xml:space="preserve">EKF (Extended Kalman Filter)</w:t>
      </w:r>
    </w:p>
    <w:p>
      <w:pPr>
        <w:spacing w:after="120"/>
      </w:pPr>
      <w:r>
        <w:t xml:space="preserve">A mathematical algorithm used to smooth GPS position data and predict position during GPS outages. The EKF combines GPS coordinates with motion estimates to provide more accurate and stable position tracking, especially useful in areas with poor GPS reception such as under trees or near tall buildings.</w:t>
      </w:r>
    </w:p>
    <w:p>
      <w:pPr>
        <w:pStyle w:val="Heading2"/>
      </w:pPr>
      <w:r>
        <w:t xml:space="preserve">Position Confidence</w:t>
      </w:r>
    </w:p>
    <w:p>
      <w:pPr>
        <w:spacing w:after="120"/>
      </w:pPr>
      <w:r>
        <w:t xml:space="preserve">A measure of how certain the system is about the current position estimate. Confidence levels are:</w:t>
      </w:r>
    </w:p>
    <w:p>
      <w:pPr>
        <w:pStyle w:val="ListParagraph"/>
        <w:numPr>
          <w:ilvl w:val="0"/>
          <w:numId w:val="2"/>
        </w:numPr>
      </w:pPr>
      <w:r>
        <w:rPr>
          <w:b/>
          <w:bCs/>
        </w:rPr>
        <w:t xml:space="preserve">High</w:t>
      </w:r>
      <w:r>
        <w:t xml:space="preserve"> - Strong GPS signal, recent position updates</w:t>
      </w:r>
    </w:p>
    <w:p>
      <w:pPr>
        <w:pStyle w:val="ListParagraph"/>
        <w:numPr>
          <w:ilvl w:val="0"/>
          <w:numId w:val="2"/>
        </w:numPr>
      </w:pPr>
      <w:r>
        <w:rPr>
          <w:b/>
          <w:bCs/>
        </w:rPr>
        <w:t xml:space="preserve">Medium</w:t>
      </w:r>
      <w:r>
        <w:t xml:space="preserve"> - Moderate GPS quality or slight prediction</w:t>
      </w:r>
    </w:p>
    <w:p>
      <w:pPr>
        <w:pStyle w:val="ListParagraph"/>
        <w:numPr>
          <w:ilvl w:val="0"/>
          <w:numId w:val="2"/>
        </w:numPr>
      </w:pPr>
      <w:r>
        <w:rPr>
          <w:b/>
          <w:bCs/>
        </w:rPr>
        <w:t xml:space="preserve">Low</w:t>
      </w:r>
      <w:r>
        <w:t xml:space="preserve"> - Weak GPS signal, relying more on prediction</w:t>
      </w:r>
    </w:p>
    <w:p>
      <w:pPr>
        <w:pStyle w:val="ListParagraph"/>
        <w:numPr>
          <w:ilvl w:val="0"/>
          <w:numId w:val="2"/>
        </w:numPr>
        <w:spacing w:after="120"/>
      </w:pPr>
      <w:r>
        <w:rPr>
          <w:b/>
          <w:bCs/>
        </w:rPr>
        <w:t xml:space="preserve">Predicted</w:t>
      </w:r>
      <w:r>
        <w:t xml:space="preserve"> - No recent GPS updates, position estimated by EKF</w:t>
      </w:r>
    </w:p>
    <w:p>
      <w:pPr>
        <w:pStyle w:val="Heading2"/>
      </w:pPr>
      <w:r>
        <w:t xml:space="preserve">Position Uncertainty</w:t>
      </w:r>
    </w:p>
    <w:p>
      <w:pPr>
        <w:spacing w:after="120"/>
      </w:pPr>
      <w:r>
        <w:t xml:space="preserve">The estimated error radius (in meters) of the current position. Lower values indicate higher position accuracy. Uncertainty increases during GPS outages as the EKF relies more heavily on prediction.</w:t>
      </w:r>
    </w:p>
    <w:p>
      <w:pPr>
        <w:pStyle w:val="Heading2"/>
      </w:pPr>
      <w:r>
        <w:t xml:space="preserve">GPS Outage</w:t>
      </w:r>
    </w:p>
    <w:p>
      <w:pPr>
        <w:spacing w:after="120"/>
      </w:pPr>
      <w:r>
        <w:t xml:space="preserve">A period when GPS signal is lost or unavailable. During outages, the EKF continues to estimate position based on last known speed and direction. The application displays predicted position with reduced confidence after approximately 10 seconds without GPS updates.</w:t>
      </w:r>
    </w:p>
    <w:p>
      <w:pPr>
        <w:pStyle w:val="Heading2"/>
      </w:pPr>
      <w:r>
        <w:t xml:space="preserve">Haversine Distance</w:t>
      </w:r>
    </w:p>
    <w:p>
      <w:pPr>
        <w:spacing w:after="120"/>
      </w:pPr>
      <w:r>
        <w:t xml:space="preserve">A formula for calculating the great-circle distance between two points on a sphere given their latitude and longitude coordinates. Used in the application to calculate accurate distances between GPS positions and road geometry points.</w:t>
      </w:r>
    </w:p>
    <w:p>
      <w:pPr>
        <w:pStyle w:val="Heading1"/>
      </w:pPr>
      <w:r>
        <w:t xml:space="preserve">4. Data &amp; Storage Terminology</w:t>
      </w:r>
    </w:p>
    <w:p>
      <w:pPr>
        <w:pStyle w:val="Heading2"/>
      </w:pPr>
      <w:r>
        <w:t xml:space="preserve">IndexedDB</w:t>
      </w:r>
    </w:p>
    <w:p>
      <w:pPr>
        <w:spacing w:after="120"/>
      </w:pPr>
      <w:r>
        <w:t xml:space="preserve">A browser-based database used to store road geometry, speed zone data, and signage information locally on the device. IndexedDB enables offline functionality by allowing the application to access road data without an internet connection.</w:t>
      </w:r>
    </w:p>
    <w:p>
      <w:pPr>
        <w:pStyle w:val="Heading2"/>
      </w:pPr>
      <w:r>
        <w:t xml:space="preserve">localStorage</w:t>
      </w:r>
    </w:p>
    <w:p>
      <w:pPr>
        <w:spacing w:after="120"/>
      </w:pPr>
      <w:r>
        <w:t xml:space="preserve">A browser storage mechanism used for persistent user settings and speed zone corrections. Data stored in localStorage persists across browser sessions but is specific to each device and browser.</w:t>
      </w:r>
    </w:p>
    <w:p>
      <w:pPr>
        <w:pStyle w:val="Heading2"/>
      </w:pPr>
      <w:r>
        <w:t xml:space="preserve">MRWA Data</w:t>
      </w:r>
    </w:p>
    <w:p>
      <w:pPr>
        <w:spacing w:after="120"/>
      </w:pPr>
      <w:r>
        <w:t xml:space="preserve">Road and signage data sourced from Main Roads Western Australia. This includes road geometry, speed zones, regulatory signs, warning signs, and rail crossings. MRWA data is the primary source for speed limit information but may contain errors or gaps that require manual correction.</w:t>
      </w:r>
    </w:p>
    <w:p>
      <w:pPr>
        <w:pStyle w:val="Heading2"/>
      </w:pPr>
      <w:r>
        <w:t xml:space="preserve">Speed Zone Correction</w:t>
      </w:r>
    </w:p>
    <w:p>
      <w:pPr>
        <w:spacing w:after="120"/>
      </w:pPr>
      <w:r>
        <w:t xml:space="preserve">A user-defined override for MRWA speed zone data. Corrections specify the correct speed limit for a road section and direction when MRWA data is inaccurate. Corrections are stored locally and applied automatically during navigation.</w:t>
      </w:r>
    </w:p>
    <w:p>
      <w:pPr>
        <w:pStyle w:val="Heading1"/>
      </w:pPr>
      <w:r>
        <w:t xml:space="preserve">5. Signage Terminology</w:t>
      </w:r>
    </w:p>
    <w:p>
      <w:pPr>
        <w:pStyle w:val="Heading2"/>
      </w:pPr>
      <w:r>
        <w:t xml:space="preserve">Regulatory Sign</w:t>
      </w:r>
    </w:p>
    <w:p>
      <w:pPr>
        <w:spacing w:after="120"/>
      </w:pPr>
      <w:r>
        <w:t xml:space="preserve">A road sign that conveys a legal requirement or prohibition. Regulatory signs include speed restriction signs (R4-1), stop signs (R1-1), give way signs (R1-2), and keep left/right signs. These signs have white backgrounds with red borders or text, or white text on red backgrounds.</w:t>
      </w:r>
    </w:p>
    <w:p>
      <w:pPr>
        <w:pStyle w:val="Heading2"/>
      </w:pPr>
      <w:r>
        <w:t xml:space="preserve">Warning Sign</w:t>
      </w:r>
    </w:p>
    <w:p>
      <w:pPr>
        <w:spacing w:after="120"/>
      </w:pPr>
      <w:r>
        <w:t xml:space="preserve">A road sign that warns of hazards or conditions ahead. Warning signs have yellow backgrounds with black text/symbols. Examples include curve warnings (W1 series), advisory speed signs, and advance warning of intersections, railways, or road conditions.</w:t>
      </w:r>
    </w:p>
    <w:p>
      <w:pPr>
        <w:pStyle w:val="Heading2"/>
      </w:pPr>
      <w:r>
        <w:t xml:space="preserve">Double-Sided Sign</w:t>
      </w:r>
    </w:p>
    <w:p>
      <w:pPr>
        <w:spacing w:after="120"/>
      </w:pPr>
      <w:r>
        <w:t xml:space="preserve">A sign assembly positioned on both sides of the road, where each sign face displays a different message facing opposite directions. Common for speed restriction signs where different speed limits apply to each direction of travel on a single carriageway.</w:t>
      </w:r>
    </w:p>
    <w:p>
      <w:pPr>
        <w:pStyle w:val="Heading2"/>
      </w:pPr>
      <w:r>
        <w:t xml:space="preserve">Repeater Sign</w:t>
      </w:r>
    </w:p>
    <w:p>
      <w:pPr>
        <w:spacing w:after="120"/>
      </w:pPr>
      <w:r>
        <w:t xml:space="preserve">A speed restriction sign placed within a speed zone to remind drivers of the current limit. Repeater signs do not indicate a speed zone change; they merely confirm the existing limit.</w:t>
      </w:r>
    </w:p>
    <w:p>
      <w:pPr>
        <w:pStyle w:val="Heading2"/>
      </w:pPr>
      <w:r>
        <w:t xml:space="preserve">Panel Design</w:t>
      </w:r>
    </w:p>
    <w:p>
      <w:pPr>
        <w:spacing w:after="120"/>
      </w:pPr>
      <w:r>
        <w:t xml:space="preserve">The standard code identifying a sign's design. For example, R4-1 indicates a speed restriction sign. Panel designs follow Australian Standard AS 1742 and MRWA specifications.</w:t>
      </w:r>
    </w:p>
    <w:p>
      <w:pPr>
        <w:pStyle w:val="Heading2"/>
      </w:pPr>
      <w:r>
        <w:t xml:space="preserve">Rail Crossing</w:t>
      </w:r>
    </w:p>
    <w:p>
      <w:pPr>
        <w:spacing w:after="120"/>
      </w:pPr>
      <w:r>
        <w:t xml:space="preserve">A location where a road intersects a railway line. Rail crossings may be public (open to all traffic) or private (restricted access). Crossing type (active/passive signals) and crossing number are recorded for coordination with Arc Infrastructure during works.</w:t>
      </w:r>
    </w:p>
    <w:p>
      <w:pPr>
        <w:pStyle w:val="Heading1"/>
      </w:pPr>
      <w:r>
        <w:t xml:space="preserve">6. Application Feature Terminology</w:t>
      </w:r>
    </w:p>
    <w:p>
      <w:pPr>
        <w:pStyle w:val="Heading2"/>
      </w:pPr>
      <w:r>
        <w:t xml:space="preserve">Signage Corridor</w:t>
      </w:r>
    </w:p>
    <w:p>
      <w:pPr>
        <w:spacing w:after="120"/>
      </w:pPr>
      <w:r>
        <w:t xml:space="preserve">A user-defined section of road (specified by start and end SLK) for which signage information is displayed. The corridor report shows all speed restriction signs, regulatory signs, warning signs, rail crossings, and intersections within the specified range.</w:t>
      </w:r>
    </w:p>
    <w:p>
      <w:pPr>
        <w:pStyle w:val="Heading2"/>
      </w:pPr>
      <w:r>
        <w:t xml:space="preserve">TC Position</w:t>
      </w:r>
    </w:p>
    <w:p>
      <w:pPr>
        <w:spacing w:after="120"/>
      </w:pPr>
      <w:r>
        <w:t xml:space="preserve">Traffic Controller position. Recommended locations for placing traffic controllers relative to a work zone. TC positions are calculated based on road type, speed limit, and sight distance requirements per AS 1742.3.</w:t>
      </w:r>
    </w:p>
    <w:p>
      <w:pPr>
        <w:pStyle w:val="Heading2"/>
      </w:pPr>
      <w:r>
        <w:t xml:space="preserve">Work Zone</w:t>
      </w:r>
    </w:p>
    <w:p>
      <w:pPr>
        <w:spacing w:after="120"/>
      </w:pPr>
      <w:r>
        <w:t xml:space="preserve">The area where road works are being conducted. Defined by a road, start SLK, and end SLK. The application calculates appropriate TC positions, identifies nearby signage, and provides navigation to the work zone.</w:t>
      </w:r>
    </w:p>
    <w:p>
      <w:pPr>
        <w:pStyle w:val="Heading2"/>
      </w:pPr>
      <w:r>
        <w:t xml:space="preserve">Offline Mode</w:t>
      </w:r>
    </w:p>
    <w:p>
      <w:pPr>
        <w:spacing w:after="120"/>
      </w:pPr>
      <w:r>
        <w:t xml:space="preserve">Application operation without internet connectivity. All road data required for navigation and signage reports is stored locally in IndexedDB after initial download. GPS positioning continues to work offline using the device's GPS receiver.</w:t>
      </w:r>
    </w:p>
    <w:p>
      <w:pPr>
        <w:pStyle w:val="Heading1"/>
      </w:pPr>
      <w:r>
        <w:t xml:space="preserve">7. Quick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3000"/>
        <w:gridCol w:w="636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Term</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Definition</w:t>
            </w:r>
          </w:p>
        </w:tc>
      </w:tr>
      <w:tr>
        <w:tc>
          <w:tcPr>
            <w:tcBorders>
              <w:top w:val="single" w:color="CCCCCC" w:sz="1"/>
              <w:left w:val="single" w:color="CCCCCC" w:sz="1"/>
              <w:bottom w:val="single" w:color="CCCCCC" w:sz="1"/>
              <w:right w:val="single" w:color="CCCCCC" w:sz="1"/>
            </w:tcBorders>
          </w:tcPr>
          <w:p>
            <w:r>
              <w:rPr>
                <w:b/>
                <w:bCs/>
                <w:sz w:val="20"/>
                <w:szCs w:val="20"/>
              </w:rPr>
              <w:t xml:space="preserve">SLK</w:t>
            </w:r>
          </w:p>
        </w:tc>
        <w:tc>
          <w:tcPr>
            <w:tcBorders>
              <w:top w:val="single" w:color="CCCCCC" w:sz="1"/>
              <w:left w:val="single" w:color="CCCCCC" w:sz="1"/>
              <w:bottom w:val="single" w:color="CCCCCC" w:sz="1"/>
              <w:right w:val="single" w:color="CCCCCC" w:sz="1"/>
            </w:tcBorders>
          </w:tcPr>
          <w:p>
            <w:r>
              <w:rPr>
                <w:sz w:val="20"/>
                <w:szCs w:val="20"/>
              </w:rPr>
              <w:t xml:space="preserve">Straight Line Kilometre - distance along road from origin</w:t>
            </w:r>
          </w:p>
        </w:tc>
      </w:tr>
      <w:tr>
        <w:tc>
          <w:tcPr>
            <w:tcBorders>
              <w:top w:val="single" w:color="CCCCCC" w:sz="1"/>
              <w:left w:val="single" w:color="CCCCCC" w:sz="1"/>
              <w:bottom w:val="single" w:color="CCCCCC" w:sz="1"/>
              <w:right w:val="single" w:color="CCCCCC" w:sz="1"/>
            </w:tcBorders>
          </w:tcPr>
          <w:p>
            <w:r>
              <w:rPr>
                <w:b/>
                <w:bCs/>
                <w:sz w:val="20"/>
                <w:szCs w:val="20"/>
              </w:rPr>
              <w:t xml:space="preserve">True Right</w:t>
            </w:r>
          </w:p>
        </w:tc>
        <w:tc>
          <w:tcPr>
            <w:tcBorders>
              <w:top w:val="single" w:color="CCCCCC" w:sz="1"/>
              <w:left w:val="single" w:color="CCCCCC" w:sz="1"/>
              <w:bottom w:val="single" w:color="CCCCCC" w:sz="1"/>
              <w:right w:val="single" w:color="CCCCCC" w:sz="1"/>
            </w:tcBorders>
          </w:tcPr>
          <w:p>
            <w:r>
              <w:rPr>
                <w:sz w:val="20"/>
                <w:szCs w:val="20"/>
              </w:rPr>
              <w:t xml:space="preserve">Right side when facing increasing SLK (SLK going up)</w:t>
            </w:r>
          </w:p>
        </w:tc>
      </w:tr>
      <w:tr>
        <w:tc>
          <w:tcPr>
            <w:tcBorders>
              <w:top w:val="single" w:color="CCCCCC" w:sz="1"/>
              <w:left w:val="single" w:color="CCCCCC" w:sz="1"/>
              <w:bottom w:val="single" w:color="CCCCCC" w:sz="1"/>
              <w:right w:val="single" w:color="CCCCCC" w:sz="1"/>
            </w:tcBorders>
          </w:tcPr>
          <w:p>
            <w:r>
              <w:rPr>
                <w:b/>
                <w:bCs/>
                <w:sz w:val="20"/>
                <w:szCs w:val="20"/>
              </w:rPr>
              <w:t xml:space="preserve">True Left</w:t>
            </w:r>
          </w:p>
        </w:tc>
        <w:tc>
          <w:tcPr>
            <w:tcBorders>
              <w:top w:val="single" w:color="CCCCCC" w:sz="1"/>
              <w:left w:val="single" w:color="CCCCCC" w:sz="1"/>
              <w:bottom w:val="single" w:color="CCCCCC" w:sz="1"/>
              <w:right w:val="single" w:color="CCCCCC" w:sz="1"/>
            </w:tcBorders>
          </w:tcPr>
          <w:p>
            <w:r>
              <w:rPr>
                <w:sz w:val="20"/>
                <w:szCs w:val="20"/>
              </w:rPr>
              <w:t xml:space="preserve">Left side when facing increasing SLK (SLK going down)</w:t>
            </w:r>
          </w:p>
        </w:tc>
      </w:tr>
      <w:tr>
        <w:tc>
          <w:tcPr>
            <w:tcBorders>
              <w:top w:val="single" w:color="CCCCCC" w:sz="1"/>
              <w:left w:val="single" w:color="CCCCCC" w:sz="1"/>
              <w:bottom w:val="single" w:color="CCCCCC" w:sz="1"/>
              <w:right w:val="single" w:color="CCCCCC" w:sz="1"/>
            </w:tcBorders>
          </w:tcPr>
          <w:p>
            <w:r>
              <w:rPr>
                <w:b/>
                <w:bCs/>
                <w:sz w:val="20"/>
                <w:szCs w:val="20"/>
              </w:rPr>
              <w:t xml:space="preserve">EKF</w:t>
            </w:r>
          </w:p>
        </w:tc>
        <w:tc>
          <w:tcPr>
            <w:tcBorders>
              <w:top w:val="single" w:color="CCCCCC" w:sz="1"/>
              <w:left w:val="single" w:color="CCCCCC" w:sz="1"/>
              <w:bottom w:val="single" w:color="CCCCCC" w:sz="1"/>
              <w:right w:val="single" w:color="CCCCCC" w:sz="1"/>
            </w:tcBorders>
          </w:tcPr>
          <w:p>
            <w:r>
              <w:rPr>
                <w:sz w:val="20"/>
                <w:szCs w:val="20"/>
              </w:rPr>
              <w:t xml:space="preserve">Extended Kalman Filter - GPS smoothing algorithm</w:t>
            </w:r>
          </w:p>
        </w:tc>
      </w:tr>
      <w:tr>
        <w:tc>
          <w:tcPr>
            <w:tcBorders>
              <w:top w:val="single" w:color="CCCCCC" w:sz="1"/>
              <w:left w:val="single" w:color="CCCCCC" w:sz="1"/>
              <w:bottom w:val="single" w:color="CCCCCC" w:sz="1"/>
              <w:right w:val="single" w:color="CCCCCC" w:sz="1"/>
            </w:tcBorders>
          </w:tcPr>
          <w:p>
            <w:r>
              <w:rPr>
                <w:b/>
                <w:bCs/>
                <w:sz w:val="20"/>
                <w:szCs w:val="20"/>
              </w:rPr>
              <w:t xml:space="preserve">MRWA</w:t>
            </w:r>
          </w:p>
        </w:tc>
        <w:tc>
          <w:tcPr>
            <w:tcBorders>
              <w:top w:val="single" w:color="CCCCCC" w:sz="1"/>
              <w:left w:val="single" w:color="CCCCCC" w:sz="1"/>
              <w:bottom w:val="single" w:color="CCCCCC" w:sz="1"/>
              <w:right w:val="single" w:color="CCCCCC" w:sz="1"/>
            </w:tcBorders>
          </w:tcPr>
          <w:p>
            <w:r>
              <w:rPr>
                <w:sz w:val="20"/>
                <w:szCs w:val="20"/>
              </w:rPr>
              <w:t xml:space="preserve">Main Roads Western Australia - road authority &amp; data source</w:t>
            </w:r>
          </w:p>
        </w:tc>
      </w:tr>
      <w:tr>
        <w:tc>
          <w:tcPr>
            <w:tcBorders>
              <w:top w:val="single" w:color="CCCCCC" w:sz="1"/>
              <w:left w:val="single" w:color="CCCCCC" w:sz="1"/>
              <w:bottom w:val="single" w:color="CCCCCC" w:sz="1"/>
              <w:right w:val="single" w:color="CCCCCC" w:sz="1"/>
            </w:tcBorders>
          </w:tcPr>
          <w:p>
            <w:r>
              <w:rPr>
                <w:b/>
                <w:bCs/>
                <w:sz w:val="20"/>
                <w:szCs w:val="20"/>
              </w:rPr>
              <w:t xml:space="preserve">TC</w:t>
            </w:r>
          </w:p>
        </w:tc>
        <w:tc>
          <w:tcPr>
            <w:tcBorders>
              <w:top w:val="single" w:color="CCCCCC" w:sz="1"/>
              <w:left w:val="single" w:color="CCCCCC" w:sz="1"/>
              <w:bottom w:val="single" w:color="CCCCCC" w:sz="1"/>
              <w:right w:val="single" w:color="CCCCCC" w:sz="1"/>
            </w:tcBorders>
          </w:tcPr>
          <w:p>
            <w:r>
              <w:rPr>
                <w:sz w:val="20"/>
                <w:szCs w:val="20"/>
              </w:rPr>
              <w:t xml:space="preserve">Traffic Controller - person controlling traffic at works</w:t>
            </w:r>
          </w:p>
        </w:tc>
      </w:tr>
      <w:tr>
        <w:tc>
          <w:tcPr>
            <w:tcBorders>
              <w:top w:val="single" w:color="CCCCCC" w:sz="1"/>
              <w:left w:val="single" w:color="CCCCCC" w:sz="1"/>
              <w:bottom w:val="single" w:color="CCCCCC" w:sz="1"/>
              <w:right w:val="single" w:color="CCCCCC" w:sz="1"/>
            </w:tcBorders>
          </w:tcPr>
          <w:p>
            <w:r>
              <w:rPr>
                <w:b/>
                <w:bCs/>
                <w:sz w:val="20"/>
                <w:szCs w:val="20"/>
              </w:rPr>
              <w:t xml:space="preserve">Lookahead</w:t>
            </w:r>
          </w:p>
        </w:tc>
        <w:tc>
          <w:tcPr>
            <w:tcBorders>
              <w:top w:val="single" w:color="CCCCCC" w:sz="1"/>
              <w:left w:val="single" w:color="CCCCCC" w:sz="1"/>
              <w:bottom w:val="single" w:color="CCCCCC" w:sz="1"/>
              <w:right w:val="single" w:color="CCCCCC" w:sz="1"/>
            </w:tcBorders>
          </w:tcPr>
          <w:p>
            <w:r>
              <w:rPr>
                <w:sz w:val="20"/>
                <w:szCs w:val="20"/>
              </w:rPr>
              <w:t xml:space="preserve">Advance warning of upcoming speed zone changes</w:t>
            </w:r>
          </w:p>
        </w:tc>
      </w:tr>
      <w:tr>
        <w:tc>
          <w:tcPr>
            <w:tcBorders>
              <w:top w:val="single" w:color="CCCCCC" w:sz="1"/>
              <w:left w:val="single" w:color="CCCCCC" w:sz="1"/>
              <w:bottom w:val="single" w:color="CCCCCC" w:sz="1"/>
              <w:right w:val="single" w:color="CCCCCC" w:sz="1"/>
            </w:tcBorders>
          </w:tcPr>
          <w:p>
            <w:r>
              <w:rPr>
                <w:b/>
                <w:bCs/>
                <w:sz w:val="20"/>
                <w:szCs w:val="20"/>
              </w:rPr>
              <w:t xml:space="preserve">Corridor</w:t>
            </w:r>
          </w:p>
        </w:tc>
        <w:tc>
          <w:tcPr>
            <w:tcBorders>
              <w:top w:val="single" w:color="CCCCCC" w:sz="1"/>
              <w:left w:val="single" w:color="CCCCCC" w:sz="1"/>
              <w:bottom w:val="single" w:color="CCCCCC" w:sz="1"/>
              <w:right w:val="single" w:color="CCCCCC" w:sz="1"/>
            </w:tcBorders>
          </w:tcPr>
          <w:p>
            <w:r>
              <w:rPr>
                <w:sz w:val="20"/>
                <w:szCs w:val="20"/>
              </w:rPr>
              <w:t xml:space="preserve">Defined road section for signage reporting</w:t>
            </w:r>
          </w:p>
        </w:tc>
      </w:tr>
    </w:tbl>
    <w:p>
      <w:pPr>
        <w:spacing w:after="120" w:before="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00000"/>
      <w:sz w:val="36"/>
      <w:szCs w:val="36"/>
    </w:rPr>
  </w:style>
  <w:style w:type="paragraph" w:styleId="Heading1">
    <w:name w:val="Heading 1"/>
    <w:basedOn w:val="Normal"/>
    <w:next w:val="Normal"/>
    <w:qFormat/>
    <w:pPr>
      <w:spacing w:after="120" w:before="30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2026-03-01T13:52:45.634Z</dcterms:created>
  <dcterms:modified xsi:type="dcterms:W3CDTF">2026-03-01T13:52:45.634Z</dcterms:modified>
</cp:coreProperties>
</file>

<file path=docProps/custom.xml><?xml version="1.0" encoding="utf-8"?>
<Properties xmlns="http://schemas.openxmlformats.org/officeDocument/2006/custom-properties" xmlns:vt="http://schemas.openxmlformats.org/officeDocument/2006/docPropsVTypes"/>
</file>