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作业二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典型的内存分配管理方法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主存储器又称主存或者内存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主存储器的内存分配管理方法: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连续分配存储管理方式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单一连续分配：用户区内存中只有一道用户程序。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固定分区分配：将整个用户区分为固定大小的区域，每个分区中只装入一道程序。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动态分区分配（可变分区分配）：根据实际需要，动态的为分区的区域分配内存空间。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动态可重定位分区分配：在动态分区分配算法的基础上增加了紧凑的功能。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分页存储管理方式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将用户的地址空间分成若干个固定大小的区域，简称为“页”或“页面”，也将内存的空间分成若干个物理块或页框，页和块大小相同，这样用户程序的任意一页都可放入任意一个物理块中，实现了离散分配。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基本的地址变换机构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具有快表的地址变换机构：拥有快表后访问页表是可以不进入内存而是直接进入快表，少访问一次内存。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分段存储管理方式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把用户的地址空间分成若干个大小相同的段，每段可定义一组相对完整的信息。在存储器分配时，以段为单位，这些段在内存中不可相邻，因此实现了离散分配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段页式存储管理方式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将分段和分页两种存储管理方式相结合。将用户程序分成若干个段，在把若干个段分成若干个页，并为每一个段赋予一个段名。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如何提高内存的使用效率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及时释放内存。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分页、分段的内存被使用之后，需要及时释放内存，保证其他进程可以使用，以提高内存的使用效率。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使用更适合的分配算法。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基于动态分区的分配算法：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首次适应算法（FF算法）：分配内存时，从链首开始顺序查找，直到找到一个大小能满足要求的空闲分区为止，在按照作业大小，从分区划出内存空间，分配给请求者，剩下的空间分区仍然留在空闲链中。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循环首次适应算法（NF算法）：不是每次都从链首开始寻找而是从上一个空闲分区开始查找。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最佳适应算法（BF算法）：要求将所有的空闲分区按照其容量从小到大的顺序形成一空闲分区。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最坏适应算法（WF算法）：扫描整个空闲分区或链表，总是挑选一个最大的空闲区，从中分割一部分存储空间给作业使用。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使用适合的分配算法可以提高内存的存储效率。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紧凑内存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每次使用分配算法之后剩余的碎片紧凑到一起，凑整成一个大空间继续分配用户程序，来提高内存的存储效率。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虚拟内存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虚拟内存并不是真正的内存而是外存，虚拟过后的内存的容量=内存+外存，使内存的空间变大，提高内存的存储效率。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内存与硬盘存储空间分配有哪些共性和特性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共性：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分配原则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无论是内存还是硬盘都需要遵从一定的分配原则，分配应该满足每个应用程序的需求。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稳定性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内存和硬盘都需要保证分配过程中的系统稳定性。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空间管理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对已经分配和未分配的空间都需要进行管理，考虑如何优化空间管理性。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特性：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分配单位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内存分配的是字节而硬盘分配的是区域或者块。内存的分配单位比硬盘的分配单位小。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访问速度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内存的访问速度比硬盘的访问速度更快，因为内存分配单位更小，访问速度更快。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存储容量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内存的存储容量更少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价格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内存价格更高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信息保存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内存断电后信息丢失，而硬盘断电后信息不丢失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51114"/>
    <w:multiLevelType w:val="singleLevel"/>
    <w:tmpl w:val="B7351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CDB294"/>
    <w:multiLevelType w:val="singleLevel"/>
    <w:tmpl w:val="B9CDB2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2798FAC"/>
    <w:multiLevelType w:val="singleLevel"/>
    <w:tmpl w:val="C2798FA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53E6636"/>
    <w:multiLevelType w:val="singleLevel"/>
    <w:tmpl w:val="353E663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876B7A4"/>
    <w:multiLevelType w:val="singleLevel"/>
    <w:tmpl w:val="6876B7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D78EDAC"/>
    <w:multiLevelType w:val="singleLevel"/>
    <w:tmpl w:val="7D78ED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MGZlYTdmYjQ3OWMzY2QyODg0ZGFmMzUwZDNjNzAifQ=="/>
  </w:docVars>
  <w:rsids>
    <w:rsidRoot w:val="792F2AEE"/>
    <w:rsid w:val="43AF64F0"/>
    <w:rsid w:val="4504582C"/>
    <w:rsid w:val="4C8A5D4C"/>
    <w:rsid w:val="792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1177</Words>
  <Characters>1181</Characters>
  <Lines>0</Lines>
  <Paragraphs>0</Paragraphs>
  <TotalTime>107</TotalTime>
  <ScaleCrop>false</ScaleCrop>
  <LinksUpToDate>false</LinksUpToDate>
  <CharactersWithSpaces>1181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2023-06-23T05:59:00Z</dcterms:created>
  <dc:creator>13614368663</dc:creator>
  <cp:lastModifiedBy>13614368663</cp:lastModifiedBy>
  <dcterms:modified xsi:type="dcterms:W3CDTF">2023-06-23T07:51:24Z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FB8B4E28813A42ACA25910ADEB6E7CFD</vt:lpwstr>
  </property>
</Properties>
</file>