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O Pensamento Computacional como Ferramenta de Apoio ao Raciocínio Matemático</w:t>
      </w:r>
    </w:p>
    <w:p>
      <w:pPr>
        <w:spacing w:after="300"/>
        <w:jc w:val="center"/>
      </w:pPr>
      <w:r>
        <w:rPr>
          <w:rFonts w:ascii="Calibri" w:cs="Calibri" w:eastAsia="Calibri" w:hAnsi="Calibri"/>
          <w:sz w:val="24"/>
          <w:szCs w:val="24"/>
        </w:rPr>
        <w:t xml:space="preserve">Autor: Rafael Filipe Vieira Reis</w:t>
      </w:r>
    </w:p>
    <w:p>
      <w:pPr>
        <w:pStyle w:val="Heading1"/>
        <w:spacing w:after="200" w:before="300"/>
      </w:pPr>
      <w:r>
        <w:rPr>
          <w:rFonts w:ascii="Calibri" w:cs="Calibri" w:eastAsia="Calibri" w:hAnsi="Calibri"/>
          <w:b/>
          <w:bCs/>
        </w:rPr>
        <w:t xml:space="preserve">Resumo</w:t>
      </w:r>
    </w:p>
    <w:p>
      <w:pPr>
        <w:spacing w:after="200" w:before="0" w:line="360"/>
        <w:jc w:val="both"/>
      </w:pPr>
      <w:r>
        <w:rPr>
          <w:rFonts w:ascii="Calibri" w:cs="Calibri" w:eastAsia="Calibri" w:hAnsi="Calibri"/>
        </w:rPr>
        <w:t xml:space="preserve">Muitos alunos consideram a matemática difícil e desmotivante por percebê-la como algo abstrato e distante do dia a dia. Este artigo propõe uma mudança de perspectiva: utilizar o Pensamento Computacional e a programação como ferramentas de apoio à construção do raciocínio matemático. Em vez de apenas memorizar fórmulas, o estudante é incentivado a criar seus próprios algoritmos, empregando variáveis e lógica para representar e investigar problemas na prática. Argumenta-se que essa transição do abstrato para o executável pode facilitar a compreensão de determinados conceitos e favorecer a autonomia do aluno ao lidar com seus próprios erros, no processo de depuração. Discute-se, com base em revisões e estudos empíricos da área, de que modo a programação, quando associada a metodologias ativas e à mediação docente, pode contribuir para o aprendizado e para a formação de estudantes mais críticos e independentes — sem que se trate, no entanto, de uma solução automática ou universal.</w:t>
      </w:r>
    </w:p>
    <w:p>
      <w:pPr>
        <w:spacing w:after="200" w:before="0" w:line="360"/>
        <w:jc w:val="both"/>
      </w:pPr>
      <w:r>
        <w:rPr>
          <w:rFonts w:ascii="Calibri" w:cs="Calibri" w:eastAsia="Calibri" w:hAnsi="Calibri"/>
        </w:rPr>
        <w:t xml:space="preserve">Palavras-chave:</w:t>
      </w:r>
      <w:r>
        <w:rPr>
          <w:rFonts w:ascii="Calibri" w:cs="Calibri" w:eastAsia="Calibri" w:hAnsi="Calibri"/>
        </w:rPr>
        <w:t xml:space="preserve"> Pensamento Computacional, Ensino de Matemática, Lógica de Programação, Resolução de Problemas, Metodologias Ativas.</w:t>
      </w:r>
    </w:p>
    <w:p>
      <w:pPr>
        <w:pStyle w:val="Heading1"/>
        <w:spacing w:after="200" w:before="300"/>
      </w:pPr>
      <w:r>
        <w:rPr>
          <w:rFonts w:ascii="Calibri" w:cs="Calibri" w:eastAsia="Calibri" w:hAnsi="Calibri"/>
          <w:b/>
          <w:bCs/>
        </w:rPr>
        <w:t xml:space="preserve">1. Introdução</w:t>
      </w:r>
    </w:p>
    <w:p>
      <w:pPr>
        <w:spacing w:after="200" w:before="0" w:line="360"/>
        <w:jc w:val="both"/>
      </w:pPr>
      <w:r>
        <w:rPr>
          <w:rFonts w:ascii="Calibri" w:cs="Calibri" w:eastAsia="Calibri" w:hAnsi="Calibri"/>
        </w:rPr>
        <w:t xml:space="preserve">Historicamente, a matemática é percebida por muitos estudantes como uma disciplina árida, baseada na memorização de fórmulas e na aplicação de regras abstratas que parecem distantes da realidade. Essa percepção cria uma barreira cognitiva, em que a dificuldade não reside necessariamente na complexidade dos números, mas na falta de ferramentas que permitam ao aluno visualizar e manipular a lógica por trás das equações. Diante desse cenário, a integração de novas tecnologias e metodologias ativas mostra-se relevante para reverter o desengajamento em sala de aula.</w:t>
      </w:r>
    </w:p>
    <w:p>
      <w:pPr>
        <w:spacing w:after="200" w:before="0" w:line="360"/>
        <w:jc w:val="both"/>
      </w:pPr>
      <w:r>
        <w:rPr>
          <w:rFonts w:ascii="Calibri" w:cs="Calibri" w:eastAsia="Calibri" w:hAnsi="Calibri"/>
        </w:rPr>
        <w:t xml:space="preserve">Neste contexto, o Pensamento Computacional surge não como uma habilidade técnica restrita à área de Tecnologia da Informação, mas como uma competência cognitiva de aplicação ampla. Wing (2006) apresenta o pensamento computacional como uma forma de pensar e um conjunto de habilidades relacionadas à formulação de problemas, à representação de soluções e à compreensão de processos, e não apenas à escrita de código. Quando relacionado ao ensino da matemática, esse conceito pode atuar como uma ponte entre o conteúdo abstrato e a sua aplicação prática, embora não deva ser tratado como sinônimo de raciocínio matemático.</w:t>
      </w:r>
    </w:p>
    <w:p>
      <w:pPr>
        <w:spacing w:after="200" w:before="0" w:line="360"/>
        <w:jc w:val="both"/>
      </w:pPr>
      <w:r>
        <w:rPr>
          <w:rFonts w:ascii="Calibri" w:cs="Calibri" w:eastAsia="Calibri" w:hAnsi="Calibri"/>
        </w:rPr>
        <w:t xml:space="preserve">A relação entre pensamento computacional e Educação Matemática já vem sendo investigada na literatura. A revisão sistemática de Barcelos et al. (2015), baseada em 48 estudos, identificou experiências didáticas que articulam o pensamento computacional a conteúdos e habilidades matemáticas, com predominância de tópicos como Álgebra, Cálculo e habilidades cognitivas de ordem superior, ao mesmo tempo em que apontou lacunas em áreas como modelagem matemática e formação de professores. Esse corpo de evidências sustenta a proposta central deste artigo, sem, contudo, autorizar generalizações amplas sobre os efeitos da programação no aprendizado matemático.</w:t>
      </w:r>
    </w:p>
    <w:p>
      <w:pPr>
        <w:spacing w:after="200" w:before="0" w:line="360"/>
        <w:jc w:val="both"/>
      </w:pPr>
      <w:r>
        <w:rPr>
          <w:rFonts w:ascii="Calibri" w:cs="Calibri" w:eastAsia="Calibri" w:hAnsi="Calibri"/>
        </w:rPr>
        <w:t xml:space="preserve">A lógica de programação pode levar o aluno a decompor um problema complexo em partes menores (decomposição), identificar padrões, filtrar informações irrelevantes (abstração) e organizar um passo a passo para a solução (algoritmo). Essas etapas guardam semelhança com processos frequentemente mobilizados na resolução de problemas matemáticos. Ao transpor uma função matemática para um código, o estudante deixa de ser apenas receptor de informações e passa a participar ativamente da construção da solução: o "X" da álgebra deixa de ser uma incógnita abstrata e torna-se uma variável manipulável na memória do computador.</w:t>
      </w:r>
    </w:p>
    <w:p>
      <w:pPr>
        <w:spacing w:after="200" w:before="0" w:line="360"/>
        <w:jc w:val="both"/>
      </w:pPr>
      <w:r>
        <w:rPr>
          <w:rFonts w:ascii="Calibri" w:cs="Calibri" w:eastAsia="Calibri" w:hAnsi="Calibri"/>
        </w:rPr>
        <w:t xml:space="preserve">Este artigo tem como objetivo discutir como a lógica de programação pode ser utilizada como ferramenta de apoio ao raciocínio matemático. Por meio da exploração de fundamentos teóricos e de exemplos de aplicação prática — utilizando recursos computacionais acessíveis —, busca-se argumentar que o ato de programar tem potencial para apoiar a autonomia do aluno, favorecer a percepção do erro como etapa do processo de aprendizagem e contribuir para a consolidação do raciocínio lógico-matemático.</w:t>
      </w:r>
    </w:p>
    <w:p>
      <w:pPr>
        <w:pStyle w:val="Heading1"/>
        <w:spacing w:after="200" w:before="300"/>
      </w:pPr>
      <w:r>
        <w:rPr>
          <w:rFonts w:ascii="Calibri" w:cs="Calibri" w:eastAsia="Calibri" w:hAnsi="Calibri"/>
          <w:b/>
          <w:bCs/>
        </w:rPr>
        <w:t xml:space="preserve">2. Fundamentação Teórica</w:t>
      </w:r>
    </w:p>
    <w:p>
      <w:pPr>
        <w:pStyle w:val="Heading2"/>
        <w:spacing w:after="200" w:before="300"/>
      </w:pPr>
      <w:r>
        <w:rPr>
          <w:rFonts w:ascii="Calibri" w:cs="Calibri" w:eastAsia="Calibri" w:hAnsi="Calibri"/>
          <w:b/>
          <w:bCs/>
        </w:rPr>
        <w:t xml:space="preserve">2.1 Os Pilares do Pensamento Computacional na Resolução de Problemas</w:t>
      </w:r>
    </w:p>
    <w:p>
      <w:pPr>
        <w:spacing w:after="200" w:before="0" w:line="360"/>
        <w:jc w:val="both"/>
      </w:pPr>
      <w:r>
        <w:rPr>
          <w:rFonts w:ascii="Calibri" w:cs="Calibri" w:eastAsia="Calibri" w:hAnsi="Calibri"/>
        </w:rPr>
        <w:t xml:space="preserve">O Pensamento Computacional não se restringe ao ato de escrever linhas de código, mas à formulação de soluções que podem ser processadas por um agente, humano ou máquina. A literatura que articula pensamento computacional e Matemática costuma avaliar competências como pensamento algorítmico, abstração, reconhecimento de padrões, uso de sequências e laços, testes e depuração (CHAN et al., 2022/2023). Esses elementos podem ser apresentados como práticas articuláveis ao raciocínio matemático, desde que não sejam tratados como equivalentes perfeitos entre si; trata-se de uma aproximação pedagógica, e não de uma identidade absoluta entre os dois campos. A seguir, apresentam-se quatro pilares comumente associados ao Pensamento Computacional e sua relação com processos cognitivos exigidos na matemática escolar:</w:t>
      </w:r>
    </w:p>
    <w:p>
      <w:pPr>
        <w:spacing w:after="150" w:line="360"/>
        <w:ind w:left="400"/>
      </w:pPr>
      <w:r>
        <w:rPr>
          <w:rFonts w:ascii="Calibri" w:cs="Calibri" w:eastAsia="Calibri" w:hAnsi="Calibri"/>
        </w:rPr>
        <w:t xml:space="preserve">• </w:t>
      </w:r>
      <w:r>
        <w:rPr>
          <w:rFonts w:ascii="Calibri" w:cs="Calibri" w:eastAsia="Calibri" w:hAnsi="Calibri"/>
          <w:b/>
          <w:bCs/>
        </w:rPr>
        <w:t xml:space="preserve">Decomposição:</w:t>
      </w:r>
      <w:r>
        <w:rPr>
          <w:rFonts w:ascii="Calibri" w:cs="Calibri" w:eastAsia="Calibri" w:hAnsi="Calibri"/>
        </w:rPr>
        <w:t xml:space="preserve"> consiste em dividir um problema complexo em partes menores e gerenciáveis. Na matemática, isso se reflete na resolução de expressões numéricas complexas ou de sistemas de equações, em que o aluno precisa resolver pequenas partes (como o que está dentro dos parênteses) antes de encarar o problema como um todo.</w:t>
      </w:r>
    </w:p>
    <w:p>
      <w:pPr>
        <w:spacing w:after="150" w:line="360"/>
        <w:ind w:left="400"/>
      </w:pPr>
      <w:r>
        <w:rPr>
          <w:rFonts w:ascii="Calibri" w:cs="Calibri" w:eastAsia="Calibri" w:hAnsi="Calibri"/>
        </w:rPr>
        <w:t xml:space="preserve">• </w:t>
      </w:r>
      <w:r>
        <w:rPr>
          <w:rFonts w:ascii="Calibri" w:cs="Calibri" w:eastAsia="Calibri" w:hAnsi="Calibri"/>
          <w:b/>
          <w:bCs/>
        </w:rPr>
        <w:t xml:space="preserve">Reconhecimento de Padrões:</w:t>
      </w:r>
      <w:r>
        <w:rPr>
          <w:rFonts w:ascii="Calibri" w:cs="Calibri" w:eastAsia="Calibri" w:hAnsi="Calibri"/>
        </w:rPr>
        <w:t xml:space="preserve"> trata-se da identificação de tendências ou repetições. É uma habilidade próxima à exigida para compreender progressões aritméticas, sequências geométricas ou o comportamento de funções em um plano cartesiano.</w:t>
      </w:r>
    </w:p>
    <w:p>
      <w:pPr>
        <w:spacing w:after="150" w:line="360"/>
        <w:ind w:left="400"/>
      </w:pPr>
      <w:r>
        <w:rPr>
          <w:rFonts w:ascii="Calibri" w:cs="Calibri" w:eastAsia="Calibri" w:hAnsi="Calibri"/>
        </w:rPr>
        <w:t xml:space="preserve">• </w:t>
      </w:r>
      <w:r>
        <w:rPr>
          <w:rFonts w:ascii="Calibri" w:cs="Calibri" w:eastAsia="Calibri" w:hAnsi="Calibri"/>
          <w:b/>
          <w:bCs/>
        </w:rPr>
        <w:t xml:space="preserve">Abstração:</w:t>
      </w:r>
      <w:r>
        <w:rPr>
          <w:rFonts w:ascii="Calibri" w:cs="Calibri" w:eastAsia="Calibri" w:hAnsi="Calibri"/>
        </w:rPr>
        <w:t xml:space="preserve"> refere-se à capacidade de filtrar detalhes irrelevantes e focar no núcleo do problema. Ao interpretar um problema matemático textual, o aluno pratica a abstração ao descartar a narrativa e extrair as grandezas, variáveis e operações necessárias.</w:t>
      </w:r>
    </w:p>
    <w:p>
      <w:pPr>
        <w:spacing w:after="150" w:line="360"/>
        <w:ind w:left="400"/>
      </w:pPr>
      <w:r>
        <w:rPr>
          <w:rFonts w:ascii="Calibri" w:cs="Calibri" w:eastAsia="Calibri" w:hAnsi="Calibri"/>
        </w:rPr>
        <w:t xml:space="preserve">• </w:t>
      </w:r>
      <w:r>
        <w:rPr>
          <w:rFonts w:ascii="Calibri" w:cs="Calibri" w:eastAsia="Calibri" w:hAnsi="Calibri"/>
          <w:b/>
          <w:bCs/>
        </w:rPr>
        <w:t xml:space="preserve">Algoritmo:</w:t>
      </w:r>
      <w:r>
        <w:rPr>
          <w:rFonts w:ascii="Calibri" w:cs="Calibri" w:eastAsia="Calibri" w:hAnsi="Calibri"/>
        </w:rPr>
        <w:t xml:space="preserve"> é a criação de um conjunto de passos sequenciais e finitos para resolver um problema. Determinados procedimentos matemáticos — como a Fórmula de Bhaskara ou o Teorema de Pitágoras — podem ser descritos como algoritmos, isto é, como sequências finitas e ordenadas de passos que o aluno percorre de forma estruturada para chegar ao resultado. Vale ressaltar que nem toda fórmula, procedimento ou relação matemática deve ser entendida como sinônimo de algoritmo; a aproximação é válida quando o procedimento pode, de fato, ser descrito como uma sequência determinística de passos.</w:t>
      </w:r>
    </w:p>
    <w:p>
      <w:pPr>
        <w:pStyle w:val="Heading2"/>
        <w:spacing w:after="200" w:before="300"/>
      </w:pPr>
      <w:r>
        <w:rPr>
          <w:rFonts w:ascii="Calibri" w:cs="Calibri" w:eastAsia="Calibri" w:hAnsi="Calibri"/>
          <w:b/>
          <w:bCs/>
        </w:rPr>
        <w:t xml:space="preserve">2.2 Convergências entre Lógica Matemática e Programação</w:t>
      </w:r>
    </w:p>
    <w:p>
      <w:pPr>
        <w:spacing w:after="200" w:before="0" w:line="360"/>
        <w:jc w:val="both"/>
      </w:pPr>
      <w:r>
        <w:rPr>
          <w:rFonts w:ascii="Calibri" w:cs="Calibri" w:eastAsia="Calibri" w:hAnsi="Calibri"/>
        </w:rPr>
        <w:t xml:space="preserve">A base de qualquer linguagem de programação é a lógica proposicional, um ramo clássico da matemática. Historicamente, o ensino da lógica matemática muitas vezes se restringe a tabelas-verdade construídas no quadro, o que pode parecer, para o estudante, um exercício sem aplicação prática imediata. Quando essa lógica é introduzida no contexto da programação, ela ganha uma aplicação concreta e verificável.</w:t>
      </w:r>
    </w:p>
    <w:p>
      <w:pPr>
        <w:spacing w:after="200" w:before="0" w:line="360"/>
        <w:jc w:val="both"/>
      </w:pPr>
      <w:r>
        <w:rPr>
          <w:rFonts w:ascii="Calibri" w:cs="Calibri" w:eastAsia="Calibri" w:hAnsi="Calibri"/>
        </w:rPr>
        <w:t xml:space="preserve">As operações clássicas da teoria dos conjuntos e da lógica matemática podem ser relacionadas à sintaxe da programação computacional:</w:t>
      </w:r>
    </w:p>
    <w:p>
      <w:pPr>
        <w:spacing w:after="150" w:line="360"/>
        <w:ind w:left="400"/>
      </w:pPr>
      <w:r>
        <w:rPr>
          <w:rFonts w:ascii="Calibri" w:cs="Calibri" w:eastAsia="Calibri" w:hAnsi="Calibri"/>
        </w:rPr>
        <w:t xml:space="preserve">• </w:t>
      </w:r>
      <w:r>
        <w:rPr>
          <w:rFonts w:ascii="Calibri" w:cs="Calibri" w:eastAsia="Calibri" w:hAnsi="Calibri"/>
          <w:b/>
          <w:bCs/>
        </w:rPr>
        <w:t xml:space="preserve">Valores Lógicos:</w:t>
      </w:r>
      <w:r>
        <w:rPr>
          <w:rFonts w:ascii="Calibri" w:cs="Calibri" w:eastAsia="Calibri" w:hAnsi="Calibri"/>
        </w:rPr>
        <w:t xml:space="preserve"> o clássico Verdadeiro (V) e Falso (F) corresponde aos tipos de dados </w:t>
      </w:r>
      <w:r>
        <w:rPr>
          <w:rFonts w:ascii="Calibri" w:cs="Calibri" w:eastAsia="Calibri" w:hAnsi="Calibri"/>
          <w:i/>
          <w:iCs/>
        </w:rPr>
        <w:t xml:space="preserve">Booleanos</w:t>
      </w:r>
      <w:r>
        <w:rPr>
          <w:rFonts w:ascii="Calibri" w:cs="Calibri" w:eastAsia="Calibri" w:hAnsi="Calibri"/>
        </w:rPr>
        <w:t xml:space="preserve"> (True ou False).</w:t>
      </w:r>
    </w:p>
    <w:p>
      <w:pPr>
        <w:spacing w:after="150" w:line="360"/>
        <w:ind w:left="400"/>
      </w:pPr>
      <w:r>
        <w:rPr>
          <w:rFonts w:ascii="Calibri" w:cs="Calibri" w:eastAsia="Calibri" w:hAnsi="Calibri"/>
        </w:rPr>
        <w:t xml:space="preserve">• </w:t>
      </w:r>
      <w:r>
        <w:rPr>
          <w:rFonts w:ascii="Calibri" w:cs="Calibri" w:eastAsia="Calibri" w:hAnsi="Calibri"/>
          <w:b/>
          <w:bCs/>
        </w:rPr>
        <w:t xml:space="preserve">Operadores Lógicos:</w:t>
      </w:r>
      <w:r>
        <w:rPr>
          <w:rFonts w:ascii="Calibri" w:cs="Calibri" w:eastAsia="Calibri" w:hAnsi="Calibri"/>
        </w:rPr>
        <w:t xml:space="preserve"> as conjunções e disjunções matemáticas correspondem aos operadores AND, OR e NOT. Para que um bloco de código seja executado, o aluno precisa estruturar essas condições lógicas, testando hipóteses na prática.</w:t>
      </w:r>
    </w:p>
    <w:p>
      <w:pPr>
        <w:spacing w:after="150" w:line="360"/>
        <w:ind w:left="400"/>
      </w:pPr>
      <w:r>
        <w:rPr>
          <w:rFonts w:ascii="Calibri" w:cs="Calibri" w:eastAsia="Calibri" w:hAnsi="Calibri"/>
        </w:rPr>
        <w:t xml:space="preserve">• </w:t>
      </w:r>
      <w:r>
        <w:rPr>
          <w:rFonts w:ascii="Calibri" w:cs="Calibri" w:eastAsia="Calibri" w:hAnsi="Calibri"/>
          <w:b/>
          <w:bCs/>
        </w:rPr>
        <w:t xml:space="preserve">Estruturas Condicionais:</w:t>
      </w:r>
      <w:r>
        <w:rPr>
          <w:rFonts w:ascii="Calibri" w:cs="Calibri" w:eastAsia="Calibri" w:hAnsi="Calibri"/>
        </w:rPr>
        <w:t xml:space="preserve"> a implicação matemática ("Se </w:t>
      </w:r>
      <w:r>
        <w:rPr>
          <w:rFonts w:ascii="Calibri" w:cs="Calibri" w:eastAsia="Calibri" w:hAnsi="Calibri"/>
          <w:i/>
          <w:iCs/>
        </w:rPr>
        <w:t xml:space="preserve">P</w:t>
      </w:r>
      <w:r>
        <w:rPr>
          <w:rFonts w:ascii="Calibri" w:cs="Calibri" w:eastAsia="Calibri" w:hAnsi="Calibri"/>
        </w:rPr>
        <w:t xml:space="preserve">, então </w:t>
      </w:r>
      <w:r>
        <w:rPr>
          <w:rFonts w:ascii="Calibri" w:cs="Calibri" w:eastAsia="Calibri" w:hAnsi="Calibri"/>
          <w:i/>
          <w:iCs/>
        </w:rPr>
        <w:t xml:space="preserve">Q</w:t>
      </w:r>
      <w:r>
        <w:rPr>
          <w:rFonts w:ascii="Calibri" w:cs="Calibri" w:eastAsia="Calibri" w:hAnsi="Calibri"/>
        </w:rPr>
        <w:t xml:space="preserve">") encontra um paralelo nas estruturas de decisão (if/else). O aluno pode visualizar que a consequência (</w:t>
      </w:r>
      <w:r>
        <w:rPr>
          <w:rFonts w:ascii="Calibri" w:cs="Calibri" w:eastAsia="Calibri" w:hAnsi="Calibri"/>
          <w:i/>
          <w:iCs/>
        </w:rPr>
        <w:t xml:space="preserve">Q</w:t>
      </w:r>
      <w:r>
        <w:rPr>
          <w:rFonts w:ascii="Calibri" w:cs="Calibri" w:eastAsia="Calibri" w:hAnsi="Calibri"/>
        </w:rPr>
        <w:t xml:space="preserve">) só é executada pelo computador quando a premissa (</w:t>
      </w:r>
      <w:r>
        <w:rPr>
          <w:rFonts w:ascii="Calibri" w:cs="Calibri" w:eastAsia="Calibri" w:hAnsi="Calibri"/>
          <w:i/>
          <w:iCs/>
        </w:rPr>
        <w:t xml:space="preserve">P</w:t>
      </w:r>
      <w:r>
        <w:rPr>
          <w:rFonts w:ascii="Calibri" w:cs="Calibri" w:eastAsia="Calibri" w:hAnsi="Calibri"/>
        </w:rPr>
        <w:t xml:space="preserve">) é satisfeita.</w:t>
      </w:r>
    </w:p>
    <w:p>
      <w:pPr>
        <w:spacing w:after="200" w:before="0" w:line="360"/>
        <w:jc w:val="both"/>
      </w:pPr>
      <w:r>
        <w:rPr>
          <w:rFonts w:ascii="Calibri" w:cs="Calibri" w:eastAsia="Calibri" w:hAnsi="Calibri"/>
        </w:rPr>
        <w:t xml:space="preserve">Dessa forma, o ensino de Lógica Matemática, quando associado ao Pensamento Computacional, pode ir além da memorização. O computador funciona como um verificador rigoroso: se a estrutura lógica construída pelo aluno contiver falhas de raciocínio, o programa tende a não executar como o esperado. Essa validação empírica pode incentivar o estudante a revisitar seus conceitos matemáticos de forma ativa, ainda que essa revisão dependa também da orientação do professor e da qualidade das atividades propostas.</w:t>
      </w:r>
    </w:p>
    <w:p>
      <w:pPr>
        <w:pStyle w:val="Heading1"/>
        <w:spacing w:after="200" w:before="300"/>
      </w:pPr>
      <w:r>
        <w:rPr>
          <w:rFonts w:ascii="Calibri" w:cs="Calibri" w:eastAsia="Calibri" w:hAnsi="Calibri"/>
          <w:b/>
          <w:bCs/>
        </w:rPr>
        <w:t xml:space="preserve">3. Metodologia e Aplicação Prática</w:t>
      </w:r>
    </w:p>
    <w:p>
      <w:pPr>
        <w:spacing w:after="200" w:before="0" w:line="360"/>
        <w:jc w:val="both"/>
      </w:pPr>
      <w:r>
        <w:rPr>
          <w:rFonts w:ascii="Calibri" w:cs="Calibri" w:eastAsia="Calibri" w:hAnsi="Calibri"/>
        </w:rPr>
        <w:t xml:space="preserve">A transição da teoria para a prática exige uma mudança na postura didática. Em vez da transmissão predominantemente expositiva de fórmulas, a inserção do Pensamento Computacional no ensino da matemática pode se beneficiar de metodologias ativas e da Aprendizagem Baseada em Problemas (ABP). Rezende e Silva-Salse (2021), em revisão teórica sobre o ensino de Matemática, argumentam que a ABP apresenta potencial para ampliar capacidades cognitivas e o pensamento crítico dos estudantes, sobretudo quando estes participam ativamente da investigação e da construção da solução. Quando o aluno é desafiado a construir uma solução, em vez de apenas reproduzi-la, esse potencial de engajamento e de retenção do conhecimento pode ser favorecido — embora esse resultado dependa da qualidade dos problemas propostos, da mediação docente e do planejamento didático, e não deva ser tomado como consequência automática do uso de programação.</w:t>
      </w:r>
    </w:p>
    <w:p>
      <w:pPr>
        <w:pStyle w:val="Heading2"/>
        <w:spacing w:after="200" w:before="300"/>
      </w:pPr>
      <w:r>
        <w:rPr>
          <w:rFonts w:ascii="Calibri" w:cs="Calibri" w:eastAsia="Calibri" w:hAnsi="Calibri"/>
          <w:b/>
          <w:bCs/>
        </w:rPr>
        <w:t xml:space="preserve">3.1 Abordagens Ativas e a Gamificação</w:t>
      </w:r>
    </w:p>
    <w:p>
      <w:pPr>
        <w:spacing w:after="200" w:before="0" w:line="360"/>
        <w:jc w:val="both"/>
      </w:pPr>
      <w:r>
        <w:rPr>
          <w:rFonts w:ascii="Calibri" w:cs="Calibri" w:eastAsia="Calibri" w:hAnsi="Calibri"/>
        </w:rPr>
        <w:t xml:space="preserve">Para introduzir a lógica de programação, o ambiente de aprendizagem pode ser transformado. A utilização de desafios sequenciais, exercícios passo a passo no terminal e até mesmo a criação de "escape rooms" lógicos são estratégias que colocam o estudante como protagonista. Nessas dinâmicas, o avanço para a próxima etapa depende da correta aplicação de um conceito matemático dentro do código. O ambiente de programação pode atuar como um verificador consistente das hipóteses do aluno: a tarefa só é concluída quando a lógica matemática estruturada por ele é executada corretamente pela máquina.</w:t>
      </w:r>
    </w:p>
    <w:p>
      <w:pPr>
        <w:pStyle w:val="Heading2"/>
        <w:spacing w:after="200" w:before="300"/>
      </w:pPr>
      <w:r>
        <w:rPr>
          <w:rFonts w:ascii="Calibri" w:cs="Calibri" w:eastAsia="Calibri" w:hAnsi="Calibri"/>
          <w:b/>
          <w:bCs/>
        </w:rPr>
        <w:t xml:space="preserve">3.2 Estatística e Probabilidade com Pseudocódigo</w:t>
      </w:r>
    </w:p>
    <w:p>
      <w:pPr>
        <w:spacing w:after="200" w:before="0" w:line="360"/>
        <w:jc w:val="both"/>
      </w:pPr>
      <w:r>
        <w:rPr>
          <w:rFonts w:ascii="Calibri" w:cs="Calibri" w:eastAsia="Calibri" w:hAnsi="Calibri"/>
        </w:rPr>
        <w:t xml:space="preserve">Um ponto de partida prático, especialmente na educação básica e no ensino técnico inicial, é a utilização de pseudocódigos em português. Ferramentas visuais e intuitivas permitem que o foco permaneça na lógica, sem o peso adicional da sintaxe de uma linguagem em inglês.</w:t>
      </w:r>
    </w:p>
    <w:p>
      <w:pPr>
        <w:spacing w:after="200" w:before="0" w:line="360"/>
        <w:jc w:val="both"/>
      </w:pPr>
      <w:r>
        <w:rPr>
          <w:rFonts w:ascii="Calibri" w:cs="Calibri" w:eastAsia="Calibri" w:hAnsi="Calibri"/>
        </w:rPr>
        <w:t xml:space="preserve">No ensino de probabilidade, é comum haver limitação prática para a realização repetida de experimentos (como lançar um dado ou uma moeda). Por meio da programação, o aluno pode construir um simulador. Wilensky (1995) relata que a construção de modelos computacionais de fenômenos probabilísticos pode ajudar os estudantes a desenvolver concepções intuitivas dos conceitos de probabilidade, na medida em que eles deixam de apenas observar uma simulação já pronta e passam a criar, manipular e revisar seus próprios modelos. Nessa perspectiva, ao utilizar um ambiente em pseudocódigo, o estudante pode ser instruído a criar um laço de repetição associado a uma função sorteia(1, 6): em vez de calcular apenas a probabilidade teórica (1/6), o aluno programa o computador para simular o lançamento do dado milhares de vezes e armazenar os resultados em variáveis. Ao analisar os dados gerados pelo próprio algoritmo, o aluno pode observar empiricamente a aproximação da frequência relativa à probabilidade teórica — fenômeno associado à Lei dos Grandes Números —, compreendendo a probabilidade também como um fenômeno observável, e não apenas como uma fração abstrata apresentada no quadro. Essa estratégia deve ser compreendida como complemento à análise teórica, e não como substituição dela.</w:t>
      </w:r>
    </w:p>
    <w:p>
      <w:pPr>
        <w:pStyle w:val="Heading2"/>
        <w:spacing w:after="200" w:before="300"/>
      </w:pPr>
      <w:r>
        <w:rPr>
          <w:rFonts w:ascii="Calibri" w:cs="Calibri" w:eastAsia="Calibri" w:hAnsi="Calibri"/>
          <w:b/>
          <w:bCs/>
        </w:rPr>
        <w:t xml:space="preserve">3.3 Álgebra e Ordem de Precedência com Python</w:t>
      </w:r>
    </w:p>
    <w:p>
      <w:pPr>
        <w:spacing w:after="200" w:before="0" w:line="360"/>
        <w:jc w:val="both"/>
      </w:pPr>
      <w:r>
        <w:rPr>
          <w:rFonts w:ascii="Calibri" w:cs="Calibri" w:eastAsia="Calibri" w:hAnsi="Calibri"/>
        </w:rPr>
        <w:t xml:space="preserve">À medida que os alunos avançam na lógica, linguagens de alto nível como Python tornam-se ferramentas úteis para o ensino de álgebra e resolução de equações. Um erro comum na matemática escolar é o desrespeito à ordem de precedência dos operadores (multiplicação antes da adição, resolução de parênteses, etc.).</w:t>
      </w:r>
    </w:p>
    <w:p>
      <w:pPr>
        <w:spacing w:after="200" w:before="0" w:line="360"/>
        <w:jc w:val="both"/>
      </w:pPr>
      <w:r>
        <w:rPr>
          <w:rFonts w:ascii="Calibri" w:cs="Calibri" w:eastAsia="Calibri" w:hAnsi="Calibri"/>
        </w:rPr>
        <w:t xml:space="preserve">Ao ser desafiado a escrever um script em Python para calcular as raízes de uma equação do segundo grau, o aluno é levado a traduzir a fórmula algébrica para uma expressão executável. Nesse processo, é útil que o estudante compreenda a diferença entre três tipos de erro: o </w:t>
      </w:r>
      <w:r>
        <w:rPr>
          <w:rFonts w:ascii="Calibri" w:cs="Calibri" w:eastAsia="Calibri" w:hAnsi="Calibri"/>
        </w:rPr>
        <w:t xml:space="preserve">erro de sintaxe</w:t>
      </w:r>
      <w:r>
        <w:rPr>
          <w:rFonts w:ascii="Calibri" w:cs="Calibri" w:eastAsia="Calibri" w:hAnsi="Calibri"/>
        </w:rPr>
        <w:t xml:space="preserve">, que impede a execução do programa (por exemplo, um parêntese não fechado); o </w:t>
      </w:r>
      <w:r>
        <w:rPr>
          <w:rFonts w:ascii="Calibri" w:cs="Calibri" w:eastAsia="Calibri" w:hAnsi="Calibri"/>
        </w:rPr>
        <w:t xml:space="preserve">erro de execução</w:t>
      </w:r>
      <w:r>
        <w:rPr>
          <w:rFonts w:ascii="Calibri" w:cs="Calibri" w:eastAsia="Calibri" w:hAnsi="Calibri"/>
        </w:rPr>
        <w:t xml:space="preserve">, que ocorre durante o funcionamento do programa e o interrompe (por exemplo, uma divisão por zero); e o </w:t>
      </w:r>
      <w:r>
        <w:rPr>
          <w:rFonts w:ascii="Calibri" w:cs="Calibri" w:eastAsia="Calibri" w:hAnsi="Calibri"/>
        </w:rPr>
        <w:t xml:space="preserve">erro lógico</w:t>
      </w:r>
      <w:r>
        <w:rPr>
          <w:rFonts w:ascii="Calibri" w:cs="Calibri" w:eastAsia="Calibri" w:hAnsi="Calibri"/>
        </w:rPr>
        <w:t xml:space="preserve">, em que o programa executa normalmente, porém produz um resultado matematicamente incorreto. No caso da equação do segundo grau, se o estudante não agrupar corretamente os termos do discriminante (delta) entre parênteses, o programa é executado sem interrupções, mas entrega um resultado incorreto — um exemplo típico de erro lógico. Para corrigir esse tipo de falha, o aluno precisa revisitar a regra matemática de precedência e ajustar seu algoritmo. O código, nesse sentido, pode funcionar como um espelho do raciocínio matemático, evidenciando falhas estruturais que, muitas vezes, passam despercebidas na resolução manual em um caderno.</w:t>
      </w:r>
    </w:p>
    <w:p>
      <w:pPr>
        <w:pStyle w:val="Heading1"/>
        <w:spacing w:after="200" w:before="300"/>
      </w:pPr>
      <w:r>
        <w:rPr>
          <w:rFonts w:ascii="Calibri" w:cs="Calibri" w:eastAsia="Calibri" w:hAnsi="Calibri"/>
          <w:b/>
          <w:bCs/>
        </w:rPr>
        <w:t xml:space="preserve">4. Resultados Esperados e Impactos no Aprendizado</w:t>
      </w:r>
    </w:p>
    <w:p>
      <w:pPr>
        <w:spacing w:after="200" w:before="0" w:line="360"/>
        <w:jc w:val="both"/>
      </w:pPr>
      <w:r>
        <w:rPr>
          <w:rFonts w:ascii="Calibri" w:cs="Calibri" w:eastAsia="Calibri" w:hAnsi="Calibri"/>
        </w:rPr>
        <w:t xml:space="preserve">A integração da lógica de programação no ensino da matemática pode favorecer transformações relevantes não apenas na assimilação de conteúdo, mas também na postura do aluno diante do conhecimento. Ao deslocar parte do foco da memorização para a construção ativa de algoritmos, é possível observar impactos potenciais no engajamento, na autonomia e no desenvolvimento da resiliência cognitiva — impactos que, como discutido a seguir, dependem de planejamento didático, mediação docente e das características específicas de cada contexto de ensino.</w:t>
      </w:r>
    </w:p>
    <w:p>
      <w:pPr>
        <w:pStyle w:val="Heading2"/>
        <w:spacing w:after="200" w:before="300"/>
      </w:pPr>
      <w:r>
        <w:rPr>
          <w:rFonts w:ascii="Calibri" w:cs="Calibri" w:eastAsia="Calibri" w:hAnsi="Calibri"/>
          <w:b/>
          <w:bCs/>
        </w:rPr>
        <w:t xml:space="preserve">4.1 Ressignificando o Erro: A Cultura do Debugging</w:t>
      </w:r>
    </w:p>
    <w:p>
      <w:pPr>
        <w:spacing w:after="200" w:before="0" w:line="360"/>
        <w:jc w:val="both"/>
      </w:pPr>
      <w:r>
        <w:rPr>
          <w:rFonts w:ascii="Calibri" w:cs="Calibri" w:eastAsia="Calibri" w:hAnsi="Calibri"/>
        </w:rPr>
        <w:t xml:space="preserve">No modelo tradicional de ensino da matemática, o erro costuma ser fonte de ansiedade e frustração. Um sinal trocado ou uma operação invertida no meio de uma equação resulta em uma resposta incorreta, por vezes associada a uma avaliação negativa. Essa dinâmica pode gerar aversão à disciplina e inibir a experimentação.</w:t>
      </w:r>
    </w:p>
    <w:p>
      <w:pPr>
        <w:spacing w:after="200" w:before="0" w:line="360"/>
        <w:jc w:val="both"/>
      </w:pPr>
      <w:r>
        <w:rPr>
          <w:rFonts w:ascii="Calibri" w:cs="Calibri" w:eastAsia="Calibri" w:hAnsi="Calibri"/>
        </w:rPr>
        <w:t xml:space="preserve">Na programação, o erro pode assumir uma função distinta. Um erro no código (um </w:t>
      </w:r>
      <w:r>
        <w:rPr>
          <w:rFonts w:ascii="Calibri" w:cs="Calibri" w:eastAsia="Calibri" w:hAnsi="Calibri"/>
          <w:i/>
          <w:iCs/>
        </w:rPr>
        <w:t xml:space="preserve">bug</w:t>
      </w:r>
      <w:r>
        <w:rPr>
          <w:rFonts w:ascii="Calibri" w:cs="Calibri" w:eastAsia="Calibri" w:hAnsi="Calibri"/>
        </w:rPr>
        <w:t xml:space="preserve">) é entendido como parte esperada do processo de desenvolvimento. Ng e Cui (2021), em estudo com estudantes dos anos finais do ensino fundamental, observaram que atividades de programação apoiaram a modelagem matemática e o pensamento algorítmico, favorecendo também práticas de teste, depuração e uso de variáveis na construção de modelos. De modo semelhante, Wilensky (1995) descreve que a construção de modelos computacionais pode transformar a depuração em uma prática de investigação: ao manipular e corrigir suas próprias representações, o estudante torna visíveis as relações entre hipóteses, procedimentos e resultados. O processo de investigar uma falha lógica — o </w:t>
      </w:r>
      <w:r>
        <w:rPr>
          <w:rFonts w:ascii="Calibri" w:cs="Calibri" w:eastAsia="Calibri" w:hAnsi="Calibri"/>
          <w:i/>
          <w:iCs/>
        </w:rPr>
        <w:t xml:space="preserve">debugging</w:t>
      </w:r>
      <w:r>
        <w:rPr>
          <w:rFonts w:ascii="Calibri" w:cs="Calibri" w:eastAsia="Calibri" w:hAnsi="Calibri"/>
        </w:rPr>
        <w:t xml:space="preserve"> — pode, assim, ensinar o aluno a rastrear seu próprio raciocínio, de modo que o erro deixe de ser apenas um veredito sobre a resposta final e passe a constituir uma oportunidade de análise do processo de raciocínio, com potencial para favorecer a resiliência e a persistência diante de problemas complexos.</w:t>
      </w:r>
    </w:p>
    <w:p>
      <w:pPr>
        <w:pStyle w:val="Heading2"/>
        <w:spacing w:after="200" w:before="300"/>
      </w:pPr>
      <w:r>
        <w:rPr>
          <w:rFonts w:ascii="Calibri" w:cs="Calibri" w:eastAsia="Calibri" w:hAnsi="Calibri"/>
          <w:b/>
          <w:bCs/>
        </w:rPr>
        <w:t xml:space="preserve">4.2 Feedback e o Desenvolvimento da Autonomia</w:t>
      </w:r>
    </w:p>
    <w:p>
      <w:pPr>
        <w:spacing w:after="200" w:before="0" w:line="360"/>
        <w:jc w:val="both"/>
      </w:pPr>
      <w:r>
        <w:rPr>
          <w:rFonts w:ascii="Calibri" w:cs="Calibri" w:eastAsia="Calibri" w:hAnsi="Calibri"/>
        </w:rPr>
        <w:t xml:space="preserve">Outro aspecto relevante da programação é a possibilidade de oferecer retorno mais imediato sobre a solução construída. Na matemática tradicional, o aluno resolve um exercício e, com frequência, precisa aguardar a correção do professor para saber se sua lógica estava correta, o que pode alongar o ciclo de aprendizagem.</w:t>
      </w:r>
    </w:p>
    <w:p>
      <w:pPr>
        <w:spacing w:after="200" w:before="0" w:line="360"/>
        <w:jc w:val="both"/>
      </w:pPr>
      <w:r>
        <w:rPr>
          <w:rFonts w:ascii="Calibri" w:cs="Calibri" w:eastAsia="Calibri" w:hAnsi="Calibri"/>
        </w:rPr>
        <w:t xml:space="preserve">Ao utilizar um ambiente de programação, o compilador ou interpretador fornece retorno em um intervalo de tempo mais curto: se a estruturação estiver correta, o programa executa e apresenta a resposta; se houver falhas, o sistema costuma indicar a linha e, por vezes, a natureza do erro. Esse retorno mais rápido tende a favorecer que o estudante teste diferentes hipóteses e ajuste parâmetros de forma mais autônoma. É importante, porém, qualificar esse potencial: a meta-análise de Wisniewski, Zierer e Hattie (2020) encontrou efeito médio favorável do feedback sobre a aprendizagem, mas também mostrou que esse efeito é heterogêneo e depende do conteúdo, da qualidade do feedback e da forma como ele é apresentado. Não é possível, portanto, afirmar que o retorno automático de um ambiente de programação seja, por si só, suficiente para a aprendizagem: a rapidez do feedback deve ser acompanhada de explicação, reflexão e mediação pedagógica para que produza os efeitos esperados. Nesse arranjo, o professor tende a deixar de ocupar apenas o papel de "corretor de exercícios" e passa a atuar como mediador, orientando o aluno nas melhores práticas e nas interpretações dos erros encontrados.</w:t>
      </w:r>
    </w:p>
    <w:p>
      <w:pPr>
        <w:pStyle w:val="Heading2"/>
        <w:spacing w:after="200" w:before="300"/>
      </w:pPr>
      <w:r>
        <w:rPr>
          <w:rFonts w:ascii="Calibri" w:cs="Calibri" w:eastAsia="Calibri" w:hAnsi="Calibri"/>
          <w:b/>
          <w:bCs/>
        </w:rPr>
        <w:t xml:space="preserve">4.3 Tangibilização e Engajamento</w:t>
      </w:r>
    </w:p>
    <w:p>
      <w:pPr>
        <w:spacing w:after="200" w:before="0" w:line="360"/>
        <w:jc w:val="both"/>
      </w:pPr>
      <w:r>
        <w:rPr>
          <w:rFonts w:ascii="Calibri" w:cs="Calibri" w:eastAsia="Calibri" w:hAnsi="Calibri"/>
        </w:rPr>
        <w:t xml:space="preserve">Ao observar a matemática em funcionamento na prática — simulando dados probabilísticos, calculando trajetórias em um pequeno jogo em 2D ou construindo ferramentas que automatizam cálculos exaustivos —, o estudante pode perceber com mais clareza a utilidade da disciplina. Desafios gamificados e atividades baseadas em projetos permitem que os alunos experimentem a sensação de criação. O raciocínio matemático, muitas vezes abstrato e estático no papel, pode ganhar movimento e propósito, o que tende a contribuir para a formação de estudantes mais preparados para pensar de forma analítica e estruturada diante de desafios tecnológicos, sem que isso substitua a necessidade de consolidação teórica e de prática deliberada.</w:t>
      </w:r>
    </w:p>
    <w:p>
      <w:pPr>
        <w:pStyle w:val="Heading1"/>
        <w:spacing w:after="200" w:before="300"/>
      </w:pPr>
      <w:r>
        <w:rPr>
          <w:rFonts w:ascii="Calibri" w:cs="Calibri" w:eastAsia="Calibri" w:hAnsi="Calibri"/>
          <w:b/>
          <w:bCs/>
        </w:rPr>
        <w:t xml:space="preserve">5. Considerações Finais</w:t>
      </w:r>
    </w:p>
    <w:p>
      <w:pPr>
        <w:spacing w:after="200" w:before="0" w:line="360"/>
        <w:jc w:val="both"/>
      </w:pPr>
      <w:r>
        <w:rPr>
          <w:rFonts w:ascii="Calibri" w:cs="Calibri" w:eastAsia="Calibri" w:hAnsi="Calibri"/>
        </w:rPr>
        <w:t xml:space="preserve">A histórica dissociação entre o ensino da matemática e sua aplicação prática tem sido apontada como um dos obstáculos ao engajamento estudantil. Este artigo discutiu como a introdução do Pensamento Computacional e da lógica de programação no ambiente escolar pode contribuir para reduzir essa barreira. Ao transformar conceitos como variáveis, equações e probabilidade em algoritmos executáveis, o aluno tem a oportunidade de experimentar a matemática como uma ferramenta de resolução de problemas, e não apenas como um conjunto de fórmulas a serem memorizadas.</w:t>
      </w:r>
    </w:p>
    <w:p>
      <w:pPr>
        <w:spacing w:after="200" w:before="0" w:line="360"/>
        <w:jc w:val="both"/>
      </w:pPr>
      <w:r>
        <w:rPr>
          <w:rFonts w:ascii="Calibri" w:cs="Calibri" w:eastAsia="Calibri" w:hAnsi="Calibri"/>
        </w:rPr>
        <w:t xml:space="preserve">As revisões consultadas sustentam a integração entre Computação e Matemática como uma possibilidade curricular capaz de ampliar práticas de modelagem, resolução de problemas e pensamento algorítmico (BARCELOS et al., 2015; CHAN et al., 2022/2023), mas também apontam a necessidade de planejamento didático, avaliação criteriosa e mediação docente constante. Especialmente no contexto da educação profissionalizante e técnica, essa integração ganha relevância adicional: o uso de ferramentas acessíveis, do pseudocódigo para iniciantes a linguagens de alto nível como Python, pode preparar o estudante tanto para compreender conceitos como a teoria dos conjuntos e a ordem de precedência algébrica quanto para aplicar esse raciocínio em situações concretas.</w:t>
      </w:r>
    </w:p>
    <w:p>
      <w:pPr>
        <w:spacing w:after="200" w:before="0" w:line="360"/>
        <w:jc w:val="both"/>
      </w:pPr>
      <w:r>
        <w:rPr>
          <w:rFonts w:ascii="Calibri" w:cs="Calibri" w:eastAsia="Calibri" w:hAnsi="Calibri"/>
        </w:rPr>
        <w:t xml:space="preserve">É importante ressaltar que a programação não substitui o currículo tradicional de matemática, tampouco tem como objetivo exclusivo formar desenvolvedores de software durante as aulas de exatas. Seu papel, à luz das evidências discutidas, é o de atuar como um recurso pedagógico complementar: quando acompanhada de planejamento, mediação docente e avaliação adequada, a programação pode contribuir para o desenvolvimento de pensadores mais autônomos e mais bem preparados para os desafios analíticos da atualidade — sem que se deva atribuir a ela, isoladamente, a responsabilidade por esse resultado.</w:t>
      </w:r>
    </w:p>
    <w:p>
      <w:pPr>
        <w:pStyle w:val="Heading1"/>
        <w:spacing w:after="200" w:before="300"/>
      </w:pPr>
      <w:r>
        <w:rPr>
          <w:rFonts w:ascii="Calibri" w:cs="Calibri" w:eastAsia="Calibri" w:hAnsi="Calibri"/>
          <w:b/>
          <w:bCs/>
        </w:rPr>
        <w:t xml:space="preserve">Referências Bibliográficas</w:t>
      </w:r>
    </w:p>
    <w:p>
      <w:pPr>
        <w:spacing w:after="150" w:line="300"/>
        <w:ind w:left="0" w:hanging="0"/>
      </w:pPr>
      <w:r>
        <w:rPr>
          <w:rFonts w:ascii="Calibri" w:cs="Calibri" w:eastAsia="Calibri" w:hAnsi="Calibri"/>
        </w:rPr>
        <w:t xml:space="preserve">BARCELOS, Thiago; MUÑOZ, Roberto; ACEVEDO, Rodolfo Villarroel; SILVEIRA, Ismar Frango. Relações entre o pensamento computacional e a Matemática: uma revisão sistemática da literatura. </w:t>
      </w:r>
      <w:r>
        <w:rPr>
          <w:rFonts w:ascii="Calibri" w:cs="Calibri" w:eastAsia="Calibri" w:hAnsi="Calibri"/>
          <w:i/>
          <w:iCs/>
        </w:rPr>
        <w:t xml:space="preserve">Anais dos Workshops do Congresso Brasileiro de Informática na Educação</w:t>
      </w:r>
      <w:r>
        <w:rPr>
          <w:rFonts w:ascii="Calibri" w:cs="Calibri" w:eastAsia="Calibri" w:hAnsi="Calibri"/>
        </w:rPr>
        <w:t xml:space="preserve">, 2015. DOI: 10.5753/cbie.wcbie.2015.1369.</w:t>
      </w:r>
    </w:p>
    <w:p>
      <w:pPr>
        <w:spacing w:after="150" w:line="300"/>
        <w:ind w:left="0" w:hanging="0"/>
      </w:pPr>
      <w:r>
        <w:rPr>
          <w:rFonts w:ascii="Calibri" w:cs="Calibri" w:eastAsia="Calibri" w:hAnsi="Calibri"/>
        </w:rPr>
        <w:t xml:space="preserve">BRASIL. Ministério da Educação. </w:t>
      </w:r>
      <w:r>
        <w:rPr>
          <w:rFonts w:ascii="Calibri" w:cs="Calibri" w:eastAsia="Calibri" w:hAnsi="Calibri"/>
          <w:i/>
          <w:iCs/>
        </w:rPr>
        <w:t xml:space="preserve">Base Nacional Comum Curricular (BNCC)</w:t>
      </w:r>
      <w:r>
        <w:rPr>
          <w:rFonts w:ascii="Calibri" w:cs="Calibri" w:eastAsia="Calibri" w:hAnsi="Calibri"/>
        </w:rPr>
        <w:t xml:space="preserve">. Brasília: MEC, 2018. Disponível em: https://basenacionalcomum.mec.gov.br/. Acesso em: 3 set. 2026.</w:t>
      </w:r>
    </w:p>
    <w:p>
      <w:pPr>
        <w:spacing w:after="150" w:line="300"/>
        <w:ind w:left="0" w:hanging="0"/>
      </w:pPr>
      <w:r>
        <w:rPr>
          <w:rFonts w:ascii="Calibri" w:cs="Calibri" w:eastAsia="Calibri" w:hAnsi="Calibri"/>
        </w:rPr>
        <w:t xml:space="preserve">CHAN, Shiau-Wei; LOOI, Chee-Kit; HO, Weng Kin; KIM, Mi Song et al. Tools and approaches for integrating computational thinking and mathematics: a scoping review of current empirical studies. </w:t>
      </w:r>
      <w:r>
        <w:rPr>
          <w:rFonts w:ascii="Calibri" w:cs="Calibri" w:eastAsia="Calibri" w:hAnsi="Calibri"/>
          <w:i/>
          <w:iCs/>
        </w:rPr>
        <w:t xml:space="preserve">Journal of Educational Computing Research</w:t>
      </w:r>
      <w:r>
        <w:rPr>
          <w:rFonts w:ascii="Calibri" w:cs="Calibri" w:eastAsia="Calibri" w:hAnsi="Calibri"/>
        </w:rPr>
        <w:t xml:space="preserve">, v. 60, n. 8, p. 2036–2080, 2022/2023. DOI: 10.1177/07356331221098793.</w:t>
      </w:r>
    </w:p>
    <w:p>
      <w:pPr>
        <w:spacing w:after="150" w:line="300"/>
        <w:ind w:left="0" w:hanging="0"/>
      </w:pPr>
      <w:r>
        <w:rPr>
          <w:rFonts w:ascii="Calibri" w:cs="Calibri" w:eastAsia="Calibri" w:hAnsi="Calibri"/>
        </w:rPr>
        <w:t xml:space="preserve">NG, Oi-Lam; CUI, Zhihao. Examining primary students' mathematical problem-solving in a programming context: towards computationally enhanced mathematics education. </w:t>
      </w:r>
      <w:r>
        <w:rPr>
          <w:rFonts w:ascii="Calibri" w:cs="Calibri" w:eastAsia="Calibri" w:hAnsi="Calibri"/>
          <w:i/>
          <w:iCs/>
        </w:rPr>
        <w:t xml:space="preserve">ZDM – Mathematics Education</w:t>
      </w:r>
      <w:r>
        <w:rPr>
          <w:rFonts w:ascii="Calibri" w:cs="Calibri" w:eastAsia="Calibri" w:hAnsi="Calibri"/>
        </w:rPr>
        <w:t xml:space="preserve">, v. 53, p. 847–860, 2021. DOI: 10.1007/s11858-020-01200-7.</w:t>
      </w:r>
    </w:p>
    <w:p>
      <w:pPr>
        <w:spacing w:after="150" w:line="300"/>
        <w:ind w:left="0" w:hanging="0"/>
      </w:pPr>
      <w:r>
        <w:rPr>
          <w:rFonts w:ascii="Calibri" w:cs="Calibri" w:eastAsia="Calibri" w:hAnsi="Calibri"/>
        </w:rPr>
        <w:t xml:space="preserve">PAPERT, Seymour. </w:t>
      </w:r>
      <w:r>
        <w:rPr>
          <w:rFonts w:ascii="Calibri" w:cs="Calibri" w:eastAsia="Calibri" w:hAnsi="Calibri"/>
          <w:i/>
          <w:iCs/>
        </w:rPr>
        <w:t xml:space="preserve">Tempestades de ideias: crianças, computadores e ideias poderosas</w:t>
      </w:r>
      <w:r>
        <w:rPr>
          <w:rFonts w:ascii="Calibri" w:cs="Calibri" w:eastAsia="Calibri" w:hAnsi="Calibri"/>
        </w:rPr>
        <w:t xml:space="preserve">. São Paulo: Cultrix, 1980.</w:t>
      </w:r>
    </w:p>
    <w:p>
      <w:pPr>
        <w:spacing w:after="150" w:line="300"/>
        <w:ind w:left="0" w:hanging="0"/>
      </w:pPr>
      <w:r>
        <w:rPr>
          <w:rFonts w:ascii="Calibri" w:cs="Calibri" w:eastAsia="Calibri" w:hAnsi="Calibri"/>
        </w:rPr>
        <w:t xml:space="preserve">POLYA, George. </w:t>
      </w:r>
      <w:r>
        <w:rPr>
          <w:rFonts w:ascii="Calibri" w:cs="Calibri" w:eastAsia="Calibri" w:hAnsi="Calibri"/>
          <w:i/>
          <w:iCs/>
        </w:rPr>
        <w:t xml:space="preserve">A Arte de Resolver Problemas</w:t>
      </w:r>
      <w:r>
        <w:rPr>
          <w:rFonts w:ascii="Calibri" w:cs="Calibri" w:eastAsia="Calibri" w:hAnsi="Calibri"/>
        </w:rPr>
        <w:t xml:space="preserve">. Rio de Janeiro: Interciência, 1945.</w:t>
      </w:r>
    </w:p>
    <w:p>
      <w:pPr>
        <w:spacing w:after="150" w:line="300"/>
        <w:ind w:left="0" w:hanging="0"/>
      </w:pPr>
      <w:r>
        <w:rPr>
          <w:rFonts w:ascii="Calibri" w:cs="Calibri" w:eastAsia="Calibri" w:hAnsi="Calibri"/>
        </w:rPr>
        <w:t xml:space="preserve">REZENDE, Adriano Alves de; SILVA-SALSE, Angela Ruth. Utilização da aprendizagem baseada em problemas (ABP) para o desenvolvimento do pensamento crítico (PC) em Matemática: uma revisão teórica. </w:t>
      </w:r>
      <w:r>
        <w:rPr>
          <w:rFonts w:ascii="Calibri" w:cs="Calibri" w:eastAsia="Calibri" w:hAnsi="Calibri"/>
          <w:i/>
          <w:iCs/>
        </w:rPr>
        <w:t xml:space="preserve">Educação Matemática Debate</w:t>
      </w:r>
      <w:r>
        <w:rPr>
          <w:rFonts w:ascii="Calibri" w:cs="Calibri" w:eastAsia="Calibri" w:hAnsi="Calibri"/>
        </w:rPr>
        <w:t xml:space="preserve">, v. 5, n. 11, 2021. DOI: 10.46551/emd.e202111.</w:t>
      </w:r>
    </w:p>
    <w:p>
      <w:pPr>
        <w:spacing w:after="150" w:line="300"/>
        <w:ind w:left="0" w:hanging="0"/>
      </w:pPr>
      <w:r>
        <w:rPr>
          <w:rFonts w:ascii="Calibri" w:cs="Calibri" w:eastAsia="Calibri" w:hAnsi="Calibri"/>
        </w:rPr>
        <w:t xml:space="preserve">VALENTE, José Armando. </w:t>
      </w:r>
      <w:r>
        <w:rPr>
          <w:rFonts w:ascii="Calibri" w:cs="Calibri" w:eastAsia="Calibri" w:hAnsi="Calibri"/>
          <w:i/>
          <w:iCs/>
        </w:rPr>
        <w:t xml:space="preserve">Computadores e conhecimento: repensando a educação</w:t>
      </w:r>
      <w:r>
        <w:rPr>
          <w:rFonts w:ascii="Calibri" w:cs="Calibri" w:eastAsia="Calibri" w:hAnsi="Calibri"/>
        </w:rPr>
        <w:t xml:space="preserve">. Campinas: Gráfica da Unicamp, 1993.</w:t>
      </w:r>
    </w:p>
    <w:p>
      <w:pPr>
        <w:spacing w:after="150" w:line="300"/>
        <w:ind w:left="0" w:hanging="0"/>
      </w:pPr>
      <w:r>
        <w:rPr>
          <w:rFonts w:ascii="Calibri" w:cs="Calibri" w:eastAsia="Calibri" w:hAnsi="Calibri"/>
        </w:rPr>
        <w:t xml:space="preserve">WILENSKY, Uri. Learning probability through building computational models. In: </w:t>
      </w:r>
      <w:r>
        <w:rPr>
          <w:rFonts w:ascii="Calibri" w:cs="Calibri" w:eastAsia="Calibri" w:hAnsi="Calibri"/>
          <w:i/>
          <w:iCs/>
        </w:rPr>
        <w:t xml:space="preserve">Proceedings of the Nineteenth International Conference on the Psychology of Mathematics Education</w:t>
      </w:r>
      <w:r>
        <w:rPr>
          <w:rFonts w:ascii="Calibri" w:cs="Calibri" w:eastAsia="Calibri" w:hAnsi="Calibri"/>
        </w:rPr>
        <w:t xml:space="preserve">. Recife, 1995. Disponível em: http://ccl.northwestern.edu/papers/pme19/. Acesso em: 3 set. 2026.</w:t>
      </w:r>
    </w:p>
    <w:p>
      <w:pPr>
        <w:spacing w:after="150" w:line="300"/>
        <w:ind w:left="0" w:hanging="0"/>
      </w:pPr>
      <w:r>
        <w:rPr>
          <w:rFonts w:ascii="Calibri" w:cs="Calibri" w:eastAsia="Calibri" w:hAnsi="Calibri"/>
        </w:rPr>
        <w:t xml:space="preserve">WING, Jeannette M. Computational Thinking. </w:t>
      </w:r>
      <w:r>
        <w:rPr>
          <w:rFonts w:ascii="Calibri" w:cs="Calibri" w:eastAsia="Calibri" w:hAnsi="Calibri"/>
          <w:i/>
          <w:iCs/>
        </w:rPr>
        <w:t xml:space="preserve">Communications of the ACM</w:t>
      </w:r>
      <w:r>
        <w:rPr>
          <w:rFonts w:ascii="Calibri" w:cs="Calibri" w:eastAsia="Calibri" w:hAnsi="Calibri"/>
        </w:rPr>
        <w:t xml:space="preserve">, v. 49, n. 3, p. 33–35, 2006. DOI: 10.1145/1118178.1118215.</w:t>
      </w:r>
    </w:p>
    <w:p>
      <w:pPr>
        <w:spacing w:after="150" w:line="300"/>
        <w:ind w:left="0" w:hanging="0"/>
      </w:pPr>
      <w:r>
        <w:rPr>
          <w:rFonts w:ascii="Calibri" w:cs="Calibri" w:eastAsia="Calibri" w:hAnsi="Calibri"/>
        </w:rPr>
        <w:t xml:space="preserve">WISNIEWSKI, Benedikt; ZIERER, Klaus; HATTIE, John. The power of feedback revisited: a meta-analysis of educational feedback research. </w:t>
      </w:r>
      <w:r>
        <w:rPr>
          <w:rFonts w:ascii="Calibri" w:cs="Calibri" w:eastAsia="Calibri" w:hAnsi="Calibri"/>
          <w:i/>
          <w:iCs/>
        </w:rPr>
        <w:t xml:space="preserve">Frontiers in Psychology</w:t>
      </w:r>
      <w:r>
        <w:rPr>
          <w:rFonts w:ascii="Calibri" w:cs="Calibri" w:eastAsia="Calibri" w:hAnsi="Calibri"/>
        </w:rPr>
        <w:t xml:space="preserve">, v. 10, 2019/2020, artigo 3087. DOI: 10.3389/fpsyg.2019.03087.</w:t>
      </w:r>
    </w:p>
    <w:sectPr>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2026-09-03T12:45:22.534Z</dcterms:created>
  <dcterms:modified xsi:type="dcterms:W3CDTF">2026-09-03T12:45:22.545Z</dcterms:modified>
</cp:coreProperties>
</file>

<file path=docProps/custom.xml><?xml version="1.0" encoding="utf-8"?>
<Properties xmlns="http://schemas.openxmlformats.org/officeDocument/2006/custom-properties" xmlns:vt="http://schemas.openxmlformats.org/officeDocument/2006/docPropsVTypes"/>
</file>