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20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międzynarodowych badań edukacyjnych w R z użyciem pakietu Rrepest</w:t>
      </w:r>
    </w:p>
    <w:p>
      <w:pPr>
        <w:pStyle w:val="Author"/>
      </w:pPr>
      <w:r>
        <w:t xml:space="preserve">Jakub Łobaszewski (j.lobaszewski@ibe.edu.pl)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5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Rrepest</w:t>
      </w:r>
      <w:r>
        <w:t xml:space="preserve"> </w:t>
      </w:r>
      <w:r>
        <w:t xml:space="preserve">w R (Ilizaliturri, Avvisati, &amp; Keslair, 2025) jest rozwinięciem podejścia znanego z modułu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Stata, opracowanego pierwotnie dla analityków Organizacji Współpracy Gospodarczej i Rozwoju (OECD) (Avvisati &amp; Keslair, 2014). Został zaprojektowany z myślą o ułatwieniu analizy danych z międzynarodowych badań edukacyjnych prowadzonych przez OECD oraz Międzynarodowe Stowarzyszenie Mierzenia Osiągnięć Szkolnych (IEA), takich jak: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PIAAC</w:t>
      </w:r>
      <w:r>
        <w:t xml:space="preserve">,</w:t>
      </w:r>
      <w:r>
        <w:t xml:space="preserve"> </w:t>
      </w:r>
      <w:r>
        <w:rPr>
          <w:b/>
          <w:bCs/>
        </w:rPr>
        <w:t xml:space="preserve">TALIS</w:t>
      </w:r>
      <w:r>
        <w:t xml:space="preserve">,</w:t>
      </w:r>
      <w:r>
        <w:t xml:space="preserve"> </w:t>
      </w:r>
      <w:r>
        <w:rPr>
          <w:b/>
          <w:bCs/>
        </w:rPr>
        <w:t xml:space="preserve">SSES</w:t>
      </w:r>
      <w:r>
        <w:t xml:space="preserve"> </w:t>
      </w:r>
      <w:r>
        <w:t xml:space="preserve">(badania OECD),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,</w:t>
      </w:r>
      <w:r>
        <w:t xml:space="preserve"> </w:t>
      </w:r>
      <w:r>
        <w:rPr>
          <w:b/>
          <w:bCs/>
        </w:rPr>
        <w:t xml:space="preserve">ICCS</w:t>
      </w:r>
      <w:r>
        <w:t xml:space="preserve">,</w:t>
      </w:r>
      <w:r>
        <w:t xml:space="preserve"> </w:t>
      </w:r>
      <w:r>
        <w:rPr>
          <w:b/>
          <w:bCs/>
        </w:rPr>
        <w:t xml:space="preserve">ICILS</w:t>
      </w:r>
      <w:r>
        <w:t xml:space="preserve"> </w:t>
      </w:r>
      <w:r>
        <w:t xml:space="preserve">(badania IEA).</w:t>
      </w:r>
    </w:p>
    <w:p>
      <w:pPr>
        <w:pStyle w:val="FirstParagraph"/>
      </w:pPr>
      <w:r>
        <w:t xml:space="preserve">Pakiet umożliwia poprawną analizę wyników zgodnie z metodologią stosowaną w wymienionych wyżej badaniach, wspierając m.in.:</w:t>
      </w:r>
    </w:p>
    <w:p>
      <w:pPr>
        <w:pStyle w:val="Compact"/>
        <w:numPr>
          <w:ilvl w:val="0"/>
          <w:numId w:val="1002"/>
        </w:numPr>
      </w:pPr>
      <w:r>
        <w:t xml:space="preserve">obliczanie średnich, odsetków oraz częstości grupowanych,</w:t>
      </w:r>
    </w:p>
    <w:p>
      <w:pPr>
        <w:pStyle w:val="Compact"/>
        <w:numPr>
          <w:ilvl w:val="0"/>
          <w:numId w:val="1002"/>
        </w:numPr>
      </w:pPr>
      <w:r>
        <w:t xml:space="preserve">analizę korelacji i kowariancji oraz regresji liniowych,</w:t>
      </w:r>
    </w:p>
    <w:p>
      <w:pPr>
        <w:pStyle w:val="Compact"/>
        <w:numPr>
          <w:ilvl w:val="0"/>
          <w:numId w:val="1002"/>
        </w:numPr>
      </w:pPr>
      <w:r>
        <w:t xml:space="preserve">testy porównawcze między grupami oraz obliczanie miar rozproszenia.</w:t>
      </w:r>
    </w:p>
    <w:p>
      <w:pPr>
        <w:pStyle w:val="FirstParagraph"/>
      </w:pPr>
      <w:r>
        <w:rPr>
          <w:rStyle w:val="VerbatimChar"/>
        </w:rPr>
        <w:t xml:space="preserve">Rrepest</w:t>
      </w:r>
      <w:r>
        <w:t xml:space="preserve"> </w:t>
      </w:r>
      <w:r>
        <w:t xml:space="preserve">automatyzuje złożone elementy analizy danych z międzynarodowych badań edukacyjnych, uwzględniając stosowane w nich złożone schematy doboru próby oraz techniki skalowania wyników. Pakiet uwzględnia w obliczeniach</w:t>
      </w:r>
      <w:r>
        <w:t xml:space="preserve"> </w:t>
      </w:r>
      <w:r>
        <w:rPr>
          <w:b/>
          <w:bCs/>
        </w:rPr>
        <w:t xml:space="preserve">wagi statystyczne, wagi replikacyjne oraz wartości prawdopodobne (plausible values, PV)</w:t>
      </w:r>
      <w:r>
        <w:t xml:space="preserve">, zapewniając prawidłowe oszacowanie niepewności pomiarowej. Dzięki temu pakiet ułatwia pracę z dużymi zbiorami danych i pozwala na szybsze dokonanie analiz zgodnych ze standardami OECD i IEA.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  <w:b/>
                  <w:bCs/>
                </w:rPr>
                <w:t xml:space="preserve">Pełna dokumentacja</w:t>
              </w:r>
            </w:hyperlink>
            <w:r>
              <w:t xml:space="preserve"> </w:t>
            </w:r>
            <w:r>
              <w:t xml:space="preserve">- plik PDF zawierający opis funkcji pakietu oraz praktyczne przykłady jego zastosowania w analizie danych z międzynarodowych badań edukacyjnych.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  <w:b/>
                  <w:bCs/>
                </w:rPr>
                <w:t xml:space="preserve">README na CRAN</w:t>
              </w:r>
            </w:hyperlink>
            <w:r>
              <w:t xml:space="preserve"> </w:t>
            </w:r>
            <w:r>
              <w:t xml:space="preserve">- skrócony przewodnik instalacyjny i opis głównych funkcji pakietu, dostępny na stronie pakietu w CRAN.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  <w:b/>
                  <w:bCs/>
                </w:rPr>
                <w:t xml:space="preserve">Repo/wiki z przykładami (OECD GitLab</w:t>
              </w:r>
              <w:r>
                <w:rPr>
                  <w:rStyle w:val="Hyperlink"/>
                </w:rPr>
                <w:t xml:space="preserve">)</w:t>
              </w:r>
            </w:hyperlink>
            <w:r>
              <w:t xml:space="preserve"> </w:t>
            </w:r>
            <w:r>
              <w:t xml:space="preserve">- strona, na której znajdziemy aktualizacje pakietu publikowane przez OECD oraz dodatkowe przykłady analiz.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9" w:name="dlaczego-warto-używać-rrepest"/>
    <w:p>
      <w:pPr>
        <w:pStyle w:val="Heading2"/>
      </w:pPr>
      <w:r>
        <w:t xml:space="preserve">1.1 Dlaczego warto używać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i wartości prawdopodobne (PV). Eliminuje to konieczność samodzielnej implementacji skomplikowanych formuł metodologicznych.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oferuje przejrzystą składnię do obliczania statystyk opisowych, korelacji, regresji liniowej, testów różnic oraz generowania tabel wynikowych.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Wsparcie</w:t>
            </w:r>
            <w:r>
              <w:t xml:space="preserve">: pakiet jest aktywnie wykorzystywany i stale rozwijany przez OECD.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Szybkość</w:t>
            </w:r>
            <w:r>
              <w:t xml:space="preserve">: wykorzystuje obliczenia równoległe, rozdzielając obciążenie na wiele rdzeni procesora, co pozwala na dwukrotnie szybsze przetwarzanie danych w porównaniu do alternatywnych rozwiązań, szczególnie przy dużych zbiorach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ograniczenia-rrepest"/>
    <w:p>
      <w:pPr>
        <w:pStyle w:val="Heading2"/>
      </w:pPr>
      <w:r>
        <w:t xml:space="preserve">1.2 Ograniczenia</w:t>
      </w:r>
      <w:r>
        <w:t xml:space="preserve"> </w:t>
      </w:r>
      <w:r>
        <w:rPr>
          <w:rStyle w:val="VerbatimChar"/>
        </w:rPr>
        <w:t xml:space="preserve">Rrepest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Pakiet wspiera jedynie podstawowe typy analiz: średnie, rozkłady częstości, testy różnic, korelacje i regresje liniowe i logistyczne. Nie obsługuje np. obliczania poziomów umiejętności (benchmarków), percentyli oraz bardziej zaawansowanych analiz (np. modeli wielopoziomowych).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Regresja logistyczna wykonywana za pomocą parametru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est("log", ...)</w:t>
            </w:r>
            <w:r>
              <w:t xml:space="preserve"> </w:t>
            </w:r>
            <w:r>
              <w:t xml:space="preserve">jest wspierana tylko dla badań OECD (np. PISA, TALIS).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 regresji liniowej przeprowadzanej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wszystkie predyktory są traktowane jako zmienne ciągłe – również wtedy, gdy zostały zakodowane jako czynniki (factor).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Jeśli w danych pozostaną etykiety SPSS (value labels), nazwy kolumn w tabelach wynikowych będą zawierały etykiety kategorii i zostaną posortowane alfabetycznie co może utrudniać czytelność wyników.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bsługiwane-badania"/>
    <w:p>
      <w:pPr>
        <w:pStyle w:val="Heading2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 przez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0cb96d462dcbe7da58155cd8b25e235ec72f827"/>
    <w:p>
      <w:pPr>
        <w:pStyle w:val="Heading1"/>
      </w:pPr>
      <w:r>
        <w:t xml:space="preserve">2. Instalacja pakietów i przygotowanie danych do analizy</w:t>
      </w:r>
    </w:p>
    <w:p>
      <w:pPr>
        <w:pStyle w:val="FirstParagraph"/>
      </w:pPr>
      <w:r>
        <w:t xml:space="preserve">Aby rozpocząć pracę, należy jednorazowo zainstalować pakiet:</w:t>
      </w:r>
    </w:p>
    <w:p>
      <w:pPr>
        <w:pStyle w:val="SourceCode"/>
      </w:pPr>
      <w:r>
        <w:rPr>
          <w:rStyle w:val="CommentTok"/>
        </w:rPr>
        <w:t xml:space="preserve"># instalacja pakietu Rrepest: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"Rrepest"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instalacja dodatkowych pakietów do pracy z danymi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haven: pakiet do obsługi w R plików .sav, .sas7bdat, .dta</w:t>
      </w:r>
      <w:r>
        <w:br/>
      </w:r>
      <w:r>
        <w:rPr>
          <w:rStyle w:val="CommentTok"/>
        </w:rPr>
        <w:t xml:space="preserve"># tidyverse: zbiór pakietów ułatwiających analizę danych, m.in. dplyr, purrr, </w:t>
      </w:r>
      <w:r>
        <w:br/>
      </w:r>
      <w:r>
        <w:rPr>
          <w:rStyle w:val="CommentTok"/>
        </w:rPr>
        <w:t xml:space="preserve"># readr, stringr </w:t>
      </w:r>
      <w:r>
        <w:br/>
      </w:r>
    </w:p>
    <w:p>
      <w:pPr>
        <w:pStyle w:val="FirstParagraph"/>
      </w:pPr>
      <w:r>
        <w:t xml:space="preserve">Poniżej prezentujemy kilka dobrych praktyk ułatwiających korzystanie z pakietu.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Dobre praktyki przy pracy z pakietem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  <w:r>
              <w:t xml:space="preserve">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Ujednolicenie pisowni nazw zmiennych</w:t>
            </w:r>
            <w:r>
              <w:t xml:space="preserve">: Zamień wielkość liter w nazwach zmiennych na małe (np.</w:t>
            </w:r>
            <w:r>
              <w:t xml:space="preserve"> </w:t>
            </w:r>
            <w:r>
              <w:rPr>
                <w:rStyle w:val="VerbatimChar"/>
              </w:rPr>
              <w:t xml:space="preserve">names(df) &lt;- tolower(names(df))</w:t>
            </w:r>
            <w:r>
              <w:t xml:space="preserve">), aby uniknąć problemów z odczytywaniem nazw przez funkcję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. Niektóre jej argumenty (np.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) są wrażliwe na wielkość liter w podanych jako wartość nazwach zmiennych.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zweryfikuj strukturę zbioru i obecność braków danych: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struktura danych:</w:t>
            </w:r>
            <w:r>
              <w:t xml:space="preserve"> </w:t>
            </w:r>
            <w:r>
              <w:rPr>
                <w:rStyle w:val="VerbatimChar"/>
              </w:rPr>
              <w:t xml:space="preserve">dplyr::glimpse(df)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summary(df)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obserwacji w kategoriach danej zmiennej:</w:t>
            </w:r>
            <w:r>
              <w:t xml:space="preserve"> </w:t>
            </w:r>
            <w:r>
              <w:rPr>
                <w:rStyle w:val="VerbatimChar"/>
              </w:rPr>
              <w:t xml:space="preserve">dplyr::count(df, zmienna)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braków danych w kolumnach: (np.</w:t>
            </w:r>
            <w:r>
              <w:t xml:space="preserve"> </w:t>
            </w:r>
            <w:r>
              <w:rPr>
                <w:rStyle w:val="VerbatimChar"/>
              </w:rPr>
              <w:t xml:space="preserve">colSums(is.na(df))</w:t>
            </w:r>
            <w:r>
              <w:t xml:space="preserve">).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Powtarzalność</w:t>
            </w:r>
            <w:r>
              <w:t xml:space="preserve">: Przechowuj kod w skryptach, dokumentuj ścieżki i transformacje, aby zapewnić powtarzalność analiz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Porównanie</w:t>
            </w:r>
            <w:r>
              <w:t xml:space="preserve">: Porównaj wyniki analiz z oficjalnymi raportami OECD/IEA lub narzędziem</w:t>
            </w:r>
            <w:r>
              <w:t xml:space="preserve"> </w:t>
            </w:r>
            <w:r>
              <w:rPr>
                <w:b/>
                <w:bCs/>
              </w:rPr>
              <w:t xml:space="preserve">IEA IDB Analyzer</w:t>
            </w:r>
            <w:r>
              <w:t xml:space="preserve">, aby upewnić się, że są zgodne z metodologią badania.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51" w:name="Xfefc7e88a2587a86c39f6cc89495c449566282f"/>
    <w:p>
      <w:pPr>
        <w:pStyle w:val="Heading1"/>
      </w:pPr>
      <w:r>
        <w:t xml:space="preserve">3. Składnia i kluczowe opcje funkcji</w:t>
      </w:r>
      <w:r>
        <w:t xml:space="preserve"> </w:t>
      </w:r>
      <w:r>
        <w:rPr>
          <w:rStyle w:val="VerbatimChar"/>
        </w:rPr>
        <w:t xml:space="preserve">Rrepest()</w:t>
      </w:r>
    </w:p>
    <w:p>
      <w:pPr>
        <w:pStyle w:val="FirstParagraph"/>
      </w:pPr>
      <w:r>
        <w:rPr>
          <w:b/>
          <w:bCs/>
        </w:rPr>
        <w:t xml:space="preserve">Podstawowa składnia funkcji wraz z jej głównymi argumentami</w:t>
      </w:r>
    </w:p>
    <w:p>
      <w:pPr>
        <w:pStyle w:val="SourceCode"/>
      </w:pP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zbiór danych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nazwa </w:t>
      </w:r>
      <w:r>
        <w:rPr>
          <w:rStyle w:val="FunctionTok"/>
        </w:rPr>
        <w:t xml:space="preserve">badania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"ALL"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"IALS"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"IELS"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"PIAAC"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"PIRLS"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"PISA"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"PISAOOS"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"SSES"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"TALISSCH"</w:t>
      </w:r>
      <w:r>
        <w:rPr>
          <w:rStyle w:val="SpecialCharTok"/>
        </w:rPr>
        <w:t xml:space="preserve">/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"TALIS3S"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"TALISEC_STAFF"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"TALISEC_LEADER"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TIMSS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ICCS</w:t>
      </w:r>
      <w:r>
        <w:rPr>
          <w:rStyle w:val="StringTok"/>
        </w:rPr>
        <w:t xml:space="preserve">" (ICCS_T)"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"ICILS"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"SVY"</w:t>
      </w:r>
      <w:r>
        <w:rPr>
          <w:rStyle w:val="NormalTok"/>
        </w:rPr>
        <w:t xml:space="preserve"> (własne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niestandardowe badanie))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&lt;</w:t>
      </w:r>
      <w:r>
        <w:rPr>
          <w:rStyle w:val="StringTok"/>
        </w:rPr>
        <w:t xml:space="preserve">"mean"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"var"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"std"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"quant"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"iqr"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"freq"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"corr"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"lm"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"log"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"cov"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"gen"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argument "regressor" podajemy dla estymatorów"lm" i "log";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przy użyciu estymatora "gen" podstawiamy własny model, bez konieczności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używania argumentów "target" i "regressor"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liczba wartości </w:t>
      </w:r>
      <w:r>
        <w:rPr>
          <w:rStyle w:val="FunctionTok"/>
        </w:rPr>
        <w:t xml:space="preserve">prawdopodobnych</w:t>
      </w:r>
      <w:r>
        <w:rPr>
          <w:rStyle w:val="NormalTok"/>
        </w:rPr>
        <w:t xml:space="preserve"> (PV)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waga główna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wagi replikacyjne_1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współczynnik wariancji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Najważniejsze argumenty funkcji: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svy</w:t>
      </w:r>
      <w:r>
        <w:t xml:space="preserve"> </w:t>
      </w:r>
      <w:r>
        <w:t xml:space="preserve">- nazwa badania, które bierzemy pod uwagę w analizie.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est()</w:t>
      </w:r>
      <w:r>
        <w:t xml:space="preserve"> </w:t>
      </w:r>
      <w:r>
        <w:t xml:space="preserve">– wbudowane estymatory to</w:t>
      </w:r>
      <w:r>
        <w:t xml:space="preserve"> </w:t>
      </w:r>
      <w:r>
        <w:rPr>
          <w:rStyle w:val="VerbatimChar"/>
        </w:rPr>
        <w:t xml:space="preserve">"mean"</w:t>
      </w:r>
      <w:r>
        <w:t xml:space="preserve">,</w:t>
      </w:r>
      <w:r>
        <w:t xml:space="preserve"> </w:t>
      </w:r>
      <w:r>
        <w:rPr>
          <w:rStyle w:val="VerbatimChar"/>
        </w:rPr>
        <w:t xml:space="preserve">"var"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"std"</w:t>
      </w:r>
      <w:r>
        <w:t xml:space="preserve">,</w:t>
      </w:r>
      <w:r>
        <w:t xml:space="preserve"> </w:t>
      </w:r>
      <w:r>
        <w:rPr>
          <w:rStyle w:val="VerbatimChar"/>
        </w:rPr>
        <w:t xml:space="preserve">"quant"</w:t>
      </w:r>
      <w:r>
        <w:t xml:space="preserve">,</w:t>
      </w:r>
      <w:r>
        <w:t xml:space="preserve"> </w:t>
      </w:r>
      <w:r>
        <w:rPr>
          <w:rStyle w:val="VerbatimChar"/>
        </w:rPr>
        <w:t xml:space="preserve">"iqr"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"freq"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"corr"</w:t>
      </w:r>
      <w:r>
        <w:t xml:space="preserve">,</w:t>
      </w:r>
      <w:r>
        <w:t xml:space="preserve"> </w:t>
      </w:r>
      <w:r>
        <w:rPr>
          <w:rStyle w:val="VerbatimChar"/>
        </w:rPr>
        <w:t xml:space="preserve">"lm"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"log"</w:t>
      </w:r>
      <w:r>
        <w:t xml:space="preserve">,</w:t>
      </w:r>
      <w:r>
        <w:rPr>
          <w:rStyle w:val="VerbatimChar"/>
        </w:rPr>
        <w:t xml:space="preserve">"cov"</w:t>
      </w:r>
      <w:r>
        <w:t xml:space="preserve">, oraz ogólny</w:t>
      </w:r>
      <w:r>
        <w:t xml:space="preserve"> </w:t>
      </w:r>
      <w:r>
        <w:rPr>
          <w:rStyle w:val="VerbatimChar"/>
        </w:rPr>
        <w:t xml:space="preserve">"gen"</w:t>
      </w:r>
      <w:r>
        <w:t xml:space="preserve"> </w:t>
      </w:r>
      <w:r>
        <w:t xml:space="preserve">do uruchamiania własnych modeli z R.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target</w:t>
      </w:r>
      <w:r>
        <w:t xml:space="preserve"> </w:t>
      </w:r>
      <w:r>
        <w:t xml:space="preserve">– pojedyncza zmienna lub wielokrotne imputacje PV przez zastosowanie składni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PVREAD@</w:t>
      </w:r>
      <w:r>
        <w:t xml:space="preserve">,</w:t>
      </w:r>
      <w:r>
        <w:t xml:space="preserve"> </w:t>
      </w:r>
      <w:r>
        <w:rPr>
          <w:rStyle w:val="VerbatimChar"/>
        </w:rPr>
        <w:t xml:space="preserve">PVNUM@</w:t>
      </w:r>
      <w:r>
        <w:t xml:space="preserve">,</w:t>
      </w:r>
      <w:r>
        <w:t xml:space="preserve"> </w:t>
      </w:r>
      <w:r>
        <w:rPr>
          <w:rStyle w:val="VerbatimChar"/>
        </w:rPr>
        <w:t xml:space="preserve">ASMMAT0@</w:t>
      </w:r>
      <w:r>
        <w:t xml:space="preserve">). Składnia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może być też używana przy podawaniu zmiennych PV w parametrach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regressor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by</w:t>
      </w:r>
      <w:r>
        <w:t xml:space="preserve"> </w:t>
      </w:r>
      <w:r>
        <w:t xml:space="preserve">– osobne estymacje/tabele dla wskazanych zmiennych.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test=TRUE</w:t>
      </w:r>
      <w:r>
        <w:t xml:space="preserve"> </w:t>
      </w:r>
      <w:r>
        <w:t xml:space="preserve">– analiza grup łącznie i raport testów różnic między poziomami zmiennej wskazanej w argumencie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n.pvs</w:t>
      </w:r>
      <w:r>
        <w:t xml:space="preserve"> </w:t>
      </w:r>
      <w:r>
        <w:t xml:space="preserve">– liczba PV wykorzystywana przy uśrednianiu wyników dla wartości prawdopodobnych (domyślnie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 </w:t>
      </w:r>
      <w:r>
        <w:t xml:space="preserve">bierze pod uwagę 5 PV).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cm.weights</w:t>
      </w:r>
      <w:r>
        <w:t xml:space="preserve"> </w:t>
      </w:r>
      <w:r>
        <w:t xml:space="preserve">– główna waga i komplet wag replikacyjnych (np.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,</w:t>
      </w:r>
      <w:r>
        <w:t xml:space="preserve"> </w:t>
      </w:r>
      <w:r>
        <w:rPr>
          <w:rStyle w:val="VerbatimChar"/>
        </w:rPr>
        <w:t xml:space="preserve">jr1:jrK</w:t>
      </w:r>
      <w:r>
        <w:t xml:space="preserve">).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var.factor</w:t>
      </w:r>
      <w:r>
        <w:t xml:space="preserve"> </w:t>
      </w:r>
      <w:r>
        <w:t xml:space="preserve">– współczynnik wariancji zgodny z zastosowanym schematem doboru próby.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show_na</w:t>
      </w:r>
      <w:r>
        <w:t xml:space="preserve"> </w:t>
      </w:r>
      <w:r>
        <w:t xml:space="preserve">– w przypadku ustawienia wartości tego parametru na</w:t>
      </w:r>
      <w:r>
        <w:t xml:space="preserve"> </w:t>
      </w:r>
      <w:r>
        <w:t xml:space="preserve">“TRUE”</w:t>
      </w:r>
      <w:r>
        <w:t xml:space="preserve"> </w:t>
      </w:r>
      <w:r>
        <w:t xml:space="preserve">w raportach częstości braki danych uwzględniane są jako osobna kategoria.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– wykonuje analizę osobno dla każdej grupy, traktując je jako niezależne zbiory danych.</w:t>
            </w:r>
            <w:r>
              <w:t xml:space="preserve"> </w:t>
            </w:r>
            <w:r>
              <w:rPr>
                <w:b/>
                <w:bCs/>
              </w:rPr>
              <w:t xml:space="preserve">Nie umożliwia bezpośredniego testowania różnic między grupami</w:t>
            </w:r>
            <w:r>
              <w:br/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over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 połączeniu z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test=TRUE</w:t>
            </w:r>
            <w:r>
              <w:t xml:space="preserve"> </w:t>
            </w:r>
            <w:r>
              <w:t xml:space="preserve">– analizuje wszystkie grupy łącznie, automatycznie obliczając</w:t>
            </w:r>
            <w:r>
              <w:t xml:space="preserve"> </w:t>
            </w:r>
            <w:r>
              <w:rPr>
                <w:b/>
                <w:bCs/>
              </w:rPr>
              <w:t xml:space="preserve">różnice między nimi</w:t>
            </w:r>
            <w:r>
              <w:t xml:space="preserve"> </w:t>
            </w:r>
            <w:r>
              <w:t xml:space="preserve">i błędy standardowe.</w:t>
            </w:r>
          </w:p>
        </w:tc>
      </w:tr>
    </w:tbl>
    <w:bookmarkStart w:id="50" w:name="X89bb2590cc0c06b0ee6248e7a3fa642daa8fa47"/>
    <w:p>
      <w:pPr>
        <w:pStyle w:val="Heading2"/>
      </w:pPr>
      <w:r>
        <w:t xml:space="preserve">3.1 Struktura danych w międzynarodowych badaniach edukacyjnych</w:t>
      </w:r>
    </w:p>
    <w:p>
      <w:pPr>
        <w:pStyle w:val="FirstParagraph"/>
      </w:pPr>
      <w:r>
        <w:t xml:space="preserve">Aby Rrepest działał poprawnie, kluczowe zmienne w zbiorze danych takie jak PV oraz wagi analityczne muszą mieć określoną strukturę nazw, odpowiadającą konwencjom w poszczególnych badaniach w obrębie danego cyklu badawczego.</w:t>
      </w:r>
    </w:p>
    <w:bookmarkStart w:id="43" w:name="X013fa72d0065e482150145996e340ea31132f56"/>
    <w:p>
      <w:pPr>
        <w:pStyle w:val="Heading3"/>
      </w:pPr>
      <w:r>
        <w:t xml:space="preserve">3.1.1 Nazwy zmiennych z wartościami prawdopodobnymi (PV)</w:t>
      </w:r>
    </w:p>
    <w:p>
      <w:pPr>
        <w:pStyle w:val="FirstParagraph"/>
      </w:pPr>
      <w:r>
        <w:t xml:space="preserve">Wartości prawdopodobne (PV) to zestaw wielokrotnych imputacji niewidocznych (niedających się zmierzyć bezpośrednio) cech (np. umiejętności matematycznych), które pozwalają na lepsze oszacowanie błędów pomiaru.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rozpoznaje te wartości przez składnię zawierającą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pv@read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pv@civ</w:t>
      </w:r>
      <w:r>
        <w:t xml:space="preserve">) i zakłada, że dostępne są wielokrotne jej imputacje (np. pv1math,…, pvKmath, gdzie K to liczba PV w danym badaniu).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Ustawienie liczby PV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Domyślnie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przyjmuje 5 jako liczbę dostępnych imputacji.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W przypadku, gdy w analizowanym badaniu jest więcej wartości prawdopodobnych (w badaniu PISA w cyklach od 2015 roku liczba PV wynosi 10), należy dodatkowo zdefiniować poprawną liczbę imputacji za pomocą argumentu</w:t>
            </w:r>
            <w:r>
              <w:t xml:space="preserve"> </w:t>
            </w:r>
            <w:r>
              <w:rPr>
                <w:rStyle w:val="VerbatimChar"/>
              </w:rPr>
              <w:t xml:space="preserve">n.pvs</w:t>
            </w:r>
            <w:r>
              <w:t xml:space="preserve"> </w:t>
            </w:r>
            <w:r>
              <w:t xml:space="preserve">(np. n.pvs = 10).</w:t>
            </w:r>
          </w:p>
        </w:tc>
      </w:tr>
    </w:tbl>
    <w:bookmarkEnd w:id="43"/>
    <w:bookmarkStart w:id="49" w:name="nazwy-zmiennych-wag-analitycznych"/>
    <w:p>
      <w:pPr>
        <w:pStyle w:val="Heading3"/>
      </w:pPr>
      <w:r>
        <w:t xml:space="preserve">3.1.2 Nazwy zmiennych wag analitycznych</w:t>
      </w:r>
    </w:p>
    <w:p>
      <w:pPr>
        <w:pStyle w:val="FirstParagraph"/>
      </w:pPr>
      <w:r>
        <w:t xml:space="preserve">Wagi analityczne są drugim rodzajem kluczowych zmiennych w międzynarodowych badaniach edukacyjnych. 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działała poprawnie, nazwy tych zmiennych muszą przyjąć postać odpowiednią dla badania wybranego do analizy. W każdym badaniu występuje zmienna</w:t>
      </w:r>
      <w:r>
        <w:t xml:space="preserve"> </w:t>
      </w:r>
      <w:r>
        <w:rPr>
          <w:rStyle w:val="VerbatimChar"/>
        </w:rPr>
        <w:t xml:space="preserve">Wagi głównej (total/final weight)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oraz</w:t>
      </w:r>
      <w:r>
        <w:t xml:space="preserve"> </w:t>
      </w:r>
      <w:r>
        <w:rPr>
          <w:rStyle w:val="VerbatimChar"/>
        </w:rPr>
        <w:t xml:space="preserve">wagi replikacyjne (replicate weights)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w_fsturwt1,..., w_fsturwt80</w:t>
      </w:r>
      <w:r>
        <w:t xml:space="preserve">. Nazwy tych zmiennych oraz liczby replik są różne w poszczególnych badaniach. W większości przypadków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pobiera je automatycznie ze zbioru danych na podstawie nazwy badania podanej w argumencie</w:t>
      </w:r>
      <w:r>
        <w:t xml:space="preserve"> </w:t>
      </w:r>
      <w:r>
        <w:rPr>
          <w:rStyle w:val="VerbatimChar"/>
        </w:rPr>
        <w:t xml:space="preserve">svy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Przykładowe domyślne ustawienia wag analitycznych w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PISA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w_fstuwt</w:t>
            </w:r>
            <w:r>
              <w:t xml:space="preserve"> </w:t>
            </w:r>
            <w:r>
              <w:t xml:space="preserve">oraz 80 replik</w:t>
            </w:r>
            <w:r>
              <w:t xml:space="preserve"> </w:t>
            </w:r>
            <w:r>
              <w:rPr>
                <w:rStyle w:val="VerbatimChar"/>
              </w:rPr>
              <w:t xml:space="preserve">w_fsturwt1,..., w_fsturwt80</w:t>
            </w:r>
            <w:r>
              <w:t xml:space="preserve"> </w:t>
            </w:r>
            <w:r>
              <w:t xml:space="preserve">(wagi uczniowskie)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ICCS/ICILS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totwgts</w:t>
            </w:r>
            <w:r>
              <w:t xml:space="preserve"> </w:t>
            </w:r>
            <w:r>
              <w:t xml:space="preserve">oraz 75 replik</w:t>
            </w:r>
            <w:r>
              <w:t xml:space="preserve"> </w:t>
            </w:r>
            <w:r>
              <w:rPr>
                <w:rStyle w:val="VerbatimChar"/>
              </w:rPr>
              <w:t xml:space="preserve">srwgt1,..., srwgt75</w:t>
            </w:r>
            <w:r>
              <w:t xml:space="preserve"> </w:t>
            </w:r>
            <w:r>
              <w:t xml:space="preserve">(wagi uczniowskie)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2"/>
              </w:numPr>
            </w:pPr>
            <w:r>
              <w:t xml:space="preserve">W przypadku badań TIMSS i PIRLS (oraz innych badań wykorzystujących schemat ważenia Jackknife Repeated Replication), konieczne jest samodzielne przeliczenie wag replikacyjnych i dodanie ich do zbioru danych. Opisujemy jak to zrobić w części praktycznej poradnika.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W niektórych badaniach rozróżnia się schematy badań zależnie od analizowanych grup respondentów. Przykładowo, w badaniu TALIS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możemy podać</w:t>
            </w:r>
            <w:r>
              <w:t xml:space="preserve"> </w:t>
            </w:r>
            <w:r>
              <w:rPr>
                <w:rStyle w:val="VerbatimChar"/>
              </w:rPr>
              <w:t xml:space="preserve">"TALISTCH"</w:t>
            </w:r>
            <w:r>
              <w:t xml:space="preserve">, jeśli analizujemy nauczycieli, lub</w:t>
            </w:r>
            <w:r>
              <w:t xml:space="preserve"> </w:t>
            </w:r>
            <w:r>
              <w:rPr>
                <w:rStyle w:val="VerbatimChar"/>
              </w:rPr>
              <w:t xml:space="preserve">"TALISSCH"</w:t>
            </w:r>
            <w:r>
              <w:t xml:space="preserve">, jeśli dokonujemy analiz na zbiorze danych dotyczących szkół. Podobnie, w badaniu</w:t>
            </w:r>
            <w:r>
              <w:t xml:space="preserve"> </w:t>
            </w:r>
            <w:r>
              <w:rPr>
                <w:rStyle w:val="VerbatimChar"/>
              </w:rPr>
              <w:t xml:space="preserve">ICCS</w:t>
            </w:r>
            <w:r>
              <w:t xml:space="preserve"> </w:t>
            </w:r>
            <w:r>
              <w:t xml:space="preserve">możemy podać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nazwę badania z przyrostkiem</w:t>
            </w:r>
            <w:r>
              <w:t xml:space="preserve"> </w:t>
            </w:r>
            <w:r>
              <w:rPr>
                <w:rStyle w:val="VerbatimChar"/>
              </w:rPr>
              <w:t xml:space="preserve">'_T'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"ICCS_T"</w:t>
            </w:r>
            <w:r>
              <w:t xml:space="preserve">), jeżeli analizujemy dane nauczycieli. Rrepest automatycznie zastosuje odpowiednie wagi analityczne.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Metodologia badań TIMSS i PIRLS uległa zmianie w cyklach realizowanych po 2011 roku. W cyklach przeprowadzonych do 2011 roku włącznie stosowano 150 wag replikacyjnych oraz jedną wartość PV, natomiast w późniejszych cyklach – 250 wag replikacyjnych i pięć wartości PV.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4" w:name="pobieranie-danych"/>
    <w:p>
      <w:pPr>
        <w:pStyle w:val="Heading1"/>
      </w:pPr>
      <w:r>
        <w:t xml:space="preserve">4.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52">
        <w:r>
          <w:rPr>
            <w:rStyle w:val="Hyperlink"/>
          </w:rPr>
          <w:t xml:space="preserve">https://www.oecd.org/pisa/data/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TIMSS/PIRLS/ICCS/ICILS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https://www.iea.nl/data-tools/repository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FirstParagraph"/>
      </w:pPr>
      <w:r>
        <w:t xml:space="preserve">W przypadku badań OECD przed pobraniem zbioru należy wypełnić krótką ankietę.</w:t>
      </w:r>
    </w:p>
    <w:p>
      <w:r>
        <w:pict>
          <v:rect style="width:0;height:1.5pt" o:hralign="center" o:hrstd="t" o:hr="t"/>
        </w:pict>
      </w:r>
    </w:p>
    <w:bookmarkStart w:id="63" w:name="struktura-plików-danych"/>
    <w:p>
      <w:pPr>
        <w:pStyle w:val="Heading2"/>
      </w:pPr>
      <w:r>
        <w:t xml:space="preserve">4.1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złożonej struktury plików je zawierających. Struktura ta jest różna pomiędzy badaniami OECD i IEA.</w:t>
      </w:r>
    </w:p>
    <w:bookmarkStart w:id="59" w:name="struktura-danych-iea"/>
    <w:p>
      <w:pPr>
        <w:pStyle w:val="Heading3"/>
      </w:pPr>
      <w:r>
        <w:t xml:space="preserve">4.1.1 Struktura danych IEA</w:t>
      </w:r>
    </w:p>
    <w:p>
      <w:pPr>
        <w:pStyle w:val="FirstParagraph"/>
      </w:pPr>
      <w:r>
        <w:t xml:space="preserve">Zbiory IEA są zazwyczaj podzielone na dużą liczbę plików, pogrupowanych według kraju, poziomu klasy oraz zastosowanego narzędzia badawczego. Przykładowo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IEA, na przykładzie badania TIMSS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Przykładowo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Pierwsza litera w nazwie pliku wskazuje poziom klasy: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Dalsze litery określają typ danych: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59"/>
    <w:bookmarkStart w:id="62" w:name="struktura-danych-oecd"/>
    <w:p>
      <w:pPr>
        <w:pStyle w:val="Heading3"/>
      </w:pPr>
      <w:r>
        <w:t xml:space="preserve">4.1.2 Struktura danych OECD</w:t>
      </w:r>
    </w:p>
    <w:p>
      <w:pPr>
        <w:pStyle w:val="FirstParagraph"/>
      </w:pPr>
      <w:r>
        <w:t xml:space="preserve">W przypadku badań OECD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OECD, na przykładzie badania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cykl 8, przeprowadzony w 2022 roku)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Inne oznaczenia: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62"/>
    <w:bookmarkEnd w:id="63"/>
    <w:bookmarkEnd w:id="64"/>
    <w:bookmarkStart w:id="70" w:name="analiza-danych-pisa-2022"/>
    <w:p>
      <w:pPr>
        <w:pStyle w:val="Heading1"/>
      </w:pPr>
      <w:r>
        <w:t xml:space="preserve">5. Analiza danych PISA 2022</w:t>
      </w:r>
    </w:p>
    <w:bookmarkStart w:id="65" w:name="przygotowanie-danych"/>
    <w:p>
      <w:pPr>
        <w:pStyle w:val="Heading2"/>
      </w:pPr>
      <w:r>
        <w:t xml:space="preserve">5.1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"C:/DATA/PISA 2022/Data_SPSS"</w:t>
      </w:r>
      <w:r>
        <w:br/>
      </w:r>
      <w:r>
        <w:br/>
      </w:r>
      <w:r>
        <w:rPr>
          <w:rStyle w:val="CommentTok"/>
        </w:rPr>
        <w:t xml:space="preserve"># Krok 2: wczytanie danych uczniowskich (STU_QQQ)</w:t>
      </w:r>
      <w:r>
        <w:br/>
      </w:r>
      <w:r>
        <w:rPr>
          <w:rStyle w:val="NormalTok"/>
        </w:rPr>
        <w:t xml:space="preserve">data_students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(dir_pisa_2022, </w:t>
      </w:r>
      <w:r>
        <w:rPr>
          <w:rStyle w:val="StringTok"/>
        </w:rPr>
        <w:t xml:space="preserve">"/CY08MSP_STU_QQQ.sav"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(Australia, Kanada, Peru, Polska) i </w:t>
      </w:r>
      <w:r>
        <w:br/>
      </w:r>
      <w:r>
        <w:rPr>
          <w:rStyle w:val="CommentTok"/>
        </w:rPr>
        <w:t xml:space="preserve"># filtrowanie zbioru danych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(data_students, CNT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(pisa_2022))</w:t>
      </w:r>
    </w:p>
    <w:bookmarkEnd w:id="65"/>
    <w:bookmarkStart w:id="66" w:name="Xe95792b1c444e057c724e25446c8dd79cc8a744"/>
    <w:p>
      <w:pPr>
        <w:pStyle w:val="Heading2"/>
      </w:pPr>
      <w:r>
        <w:t xml:space="preserve">5.2 Przykład 1 – średnia i odchylenie standardowe wyników umiejętności czytania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#`Rrepest()` domyślnie używa 5 PV. W PISA 2022 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należy ustawić `n.pvs = 10`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66"/>
    <w:bookmarkStart w:id="67" w:name="Xb70a25adb8da23bb6131b43deddad93212e4df0"/>
    <w:p>
      <w:pPr>
        <w:pStyle w:val="Heading2"/>
      </w:pPr>
      <w:r>
        <w:t xml:space="preserve">5.3 Przykład 2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67"/>
    <w:bookmarkStart w:id="68" w:name="Xbc096ebbe8566c7b67aba6fc976a6779f3d6dec"/>
    <w:p>
      <w:pPr>
        <w:pStyle w:val="Heading2"/>
      </w:pPr>
      <w:r>
        <w:t xml:space="preserve">5.4 Przykład 3 – Regresja liniowa: analiza wpływu statusu społeczno–ekonomicznego rodziny na osiągnięcia ucznia w dziedzinie matematyki: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"pv@math"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           =</w:t>
      </w:r>
      <w:r>
        <w:rPr>
          <w:rStyle w:val="NormalTok"/>
        </w:rPr>
        <w:t xml:space="preserve"> ESCS_Estimate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(Table_03), 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(Table_03[i, ])),</w:t>
      </w:r>
      <w:r>
        <w:br/>
      </w:r>
      <w:r>
        <w:rPr>
          <w:rStyle w:val="NormalTok"/>
        </w:rPr>
        <w:t xml:space="preserve">  Table_03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(final_table_03)</w:t>
      </w:r>
    </w:p>
    <w:bookmarkEnd w:id="68"/>
    <w:bookmarkStart w:id="69" w:name="X4bf1d084554598c4d9b3eb9260b6d844fc63032"/>
    <w:p>
      <w:pPr>
        <w:pStyle w:val="Heading2"/>
      </w:pPr>
      <w:r>
        <w:t xml:space="preserve">5.5 Przykład 4 – Regresja logistyczna: wpływ statusu społeczno–ekonomicznego rodziny na osiągnięcia ucznia w dziedzinie matematyki (uzyskanie wyniku na poziomie co najmniej 626 punktów):</w:t>
      </w:r>
    </w:p>
    <w:p>
      <w:pPr>
        <w:pStyle w:val="SourceCode"/>
      </w:pPr>
      <w:r>
        <w:rPr>
          <w:rStyle w:val="CommentTok"/>
        </w:rPr>
        <w:t xml:space="preserve"># Na potrzeby analizy z wykorzystaniem regresji logistycznej konieczne jest </w:t>
      </w:r>
      <w:r>
        <w:br/>
      </w:r>
      <w:r>
        <w:rPr>
          <w:rStyle w:val="CommentTok"/>
        </w:rPr>
        <w:t xml:space="preserve"># utworzenie nowej zmiennej przyjmującej wartości "1" lub "0", w zależności </w:t>
      </w:r>
      <w:r>
        <w:br/>
      </w:r>
      <w:r>
        <w:rPr>
          <w:rStyle w:val="CommentTok"/>
        </w:rPr>
        <w:t xml:space="preserve"># od tego czy dany uczeń osiągnął wynik równy lub wyższy od wartości 626 pkt</w:t>
      </w:r>
      <w:r>
        <w:br/>
      </w:r>
      <w:r>
        <w:rPr>
          <w:rStyle w:val="CommentTok"/>
        </w:rPr>
        <w:t xml:space="preserve"># (dla każdej imputacji PV tworzymy osobną zmienną).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varname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newvar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pisa_2022[[newvar]]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(pisa_2022[[varname]]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br/>
      </w: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 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t_value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Std_Error,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OR_ESCS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CI95low_ESCS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CI95up_ESCS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make_logreg_table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Std_Error,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t_value,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CI95up,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make_logreg_table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9" w:name="analiza-danych-timss-2023-klasa-4"/>
    <w:p>
      <w:pPr>
        <w:pStyle w:val="Heading1"/>
      </w:pPr>
      <w:r>
        <w:t xml:space="preserve">6. Analiza danych TIMSS 2023 (klasa 4)</w:t>
      </w:r>
    </w:p>
    <w:bookmarkStart w:id="78" w:name="przygotowanie-danych-krok-po-kroku"/>
    <w:p>
      <w:pPr>
        <w:pStyle w:val="Heading2"/>
      </w:pPr>
      <w:r>
        <w:t xml:space="preserve">6.1 Przygotowanie danych krok po kroku</w:t>
      </w:r>
    </w:p>
    <w:p>
      <w:pPr>
        <w:pStyle w:val="FirstParagraph"/>
      </w:pPr>
      <w:r>
        <w:t xml:space="preserve">Przygotowanie danych TIMSS do analizy za pomocą funkcji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jest procesem wieloetapowym. Wynika to zarówno z charakterystyki struktury zbioru danych jak i metodologii badania TIMSS.</w:t>
      </w:r>
    </w:p>
    <w:bookmarkStart w:id="73" w:name="połączenie-danych"/>
    <w:p>
      <w:pPr>
        <w:pStyle w:val="Heading3"/>
      </w:pPr>
      <w:r>
        <w:t xml:space="preserve">6.1.1 Połączenie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"C:/DATA/TIMSS2023_IDB_SPSS_G4/2_Data Files/SPSS Data"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(Armenia, Australia, </w:t>
      </w:r>
      <w:r>
        <w:br/>
      </w:r>
      <w:r>
        <w:rPr>
          <w:rStyle w:val="CommentTok"/>
        </w:rPr>
        <w:t xml:space="preserve"># Bahrajn, Polska) oraz poszczególnych zbiorów danych:</w:t>
      </w:r>
      <w:r>
        <w:br/>
      </w:r>
      <w:r>
        <w:br/>
      </w:r>
      <w:r>
        <w:rPr>
          <w:rStyle w:val="CommentTok"/>
        </w:rPr>
        <w:t xml:space="preserve"># Pliki student achievement (ASA), zawierające wyniki testów umiejętności </w:t>
      </w:r>
      <w:r>
        <w:br/>
      </w:r>
      <w:r>
        <w:rPr>
          <w:rStyle w:val="NormalTok"/>
        </w:rPr>
        <w:t xml:space="preserve">timss_2023_asa_files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".*ASA(POL|AUS|ARM|BHR).*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student context (ASG), zawierające dane z ankiety uczniowskiej</w:t>
      </w:r>
      <w:r>
        <w:br/>
      </w:r>
      <w:r>
        <w:rPr>
          <w:rStyle w:val="NormalTok"/>
        </w:rPr>
        <w:t xml:space="preserve">timss_2023_asg_files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school context (ACG), zawierające dane z ankiety dyrektorów szkół</w:t>
      </w:r>
      <w:r>
        <w:br/>
      </w:r>
      <w:r>
        <w:rPr>
          <w:rStyle w:val="NormalTok"/>
        </w:rPr>
        <w:t xml:space="preserve">timss_2023_acg_files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".*ACG(POL|AUS|ARM|BHR).*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home context (ASH), zawierające dane z ankiety rodziców</w:t>
      </w:r>
      <w:r>
        <w:br/>
      </w:r>
      <w:r>
        <w:rPr>
          <w:rStyle w:val="NormalTok"/>
        </w:rPr>
        <w:t xml:space="preserve">timss_2023_ash_files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".*ASH(POL|AUS|ARM|BHR).*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timss_2023_asa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timss_2023_ash_files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łączenia zbiorów z różnych kwestionariuszy w parametrze</w:t>
            </w:r>
            <w:r>
              <w:t xml:space="preserve"> </w:t>
            </w:r>
            <w:r>
              <w:rPr>
                <w:rStyle w:val="VerbatimChar"/>
              </w:rPr>
              <w:t xml:space="preserve">"by"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podajemy wszystkie zmienne, które powtarzają się w łączonych zbiorach danych (w zależności od łączonych baz danych mogą to być takie zmienne jak identyfikator szkoły lub ucznia (odpowiednio np.</w:t>
            </w:r>
            <w:r>
              <w:t xml:space="preserve"> </w:t>
            </w:r>
            <w:r>
              <w:t xml:space="preserve">“IDSCHOOL”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“IDSTUD”</w:t>
            </w:r>
            <w:r>
              <w:t xml:space="preserve">) ale także wartości PV). W przeciwnym razie funkcja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utworzy duplikaty kolumn zawierających te same zmienne, nadając nazwom tych zmiennych przyrostki (np.</w:t>
            </w:r>
            <w:r>
              <w:t xml:space="preserve"> </w:t>
            </w:r>
            <w:r>
              <w:t xml:space="preserve">“zmienna01.x”</w:t>
            </w:r>
            <w:r>
              <w:t xml:space="preserve">,</w:t>
            </w:r>
            <w:r>
              <w:t xml:space="preserve"> </w:t>
            </w:r>
            <w:r>
              <w:t xml:space="preserve">“zmienna01.y”</w:t>
            </w:r>
            <w:r>
              <w:t xml:space="preserve">). Może to stanowić utrudnienie przy prowadzeniu analiz.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ze wszystkich kwestionariuszy</w:t>
      </w:r>
      <w:r>
        <w:br/>
      </w:r>
      <w:r>
        <w:rPr>
          <w:rStyle w:val="NormalTok"/>
        </w:rPr>
        <w:t xml:space="preserve">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timss_2023_asa,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(timss_2023_acg,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(timss_2023_ash,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IDCNTRY,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X038a6a2875e5d7f4a25f769c824c7f733e41ce8"/>
    <w:p>
      <w:pPr>
        <w:pStyle w:val="Heading3"/>
      </w:pPr>
      <w:r>
        <w:t xml:space="preserve">6.1.2 Utworzenie 250 wag replikacyjnych zgodnie z zastosowaną w badaniu TIMSS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5: budowa 250 wag replikacyjnych metodą JRR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))}</w:t>
      </w:r>
    </w:p>
    <w:bookmarkEnd w:id="74"/>
    <w:bookmarkStart w:id="77" w:name="X7daa1376bd3fb12a880165beaa006b1c5fe9764"/>
    <w:p>
      <w:pPr>
        <w:pStyle w:val="Heading3"/>
      </w:pPr>
      <w:r>
        <w:t xml:space="preserve">6.1.3 Zmiana wielkości liter w nazwach zmiennych</w:t>
      </w:r>
    </w:p>
    <w:p>
      <w:pPr>
        <w:pStyle w:val="SourceCode"/>
      </w:pPr>
      <w:r>
        <w:rPr>
          <w:rStyle w:val="CommentTok"/>
        </w:rPr>
        <w:t xml:space="preserve"># Krok 6: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 analizach TIMSS/PIRLS</w:t>
            </w:r>
            <w:r>
              <w:t xml:space="preserve">: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 replikacyjne,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 Wartość współczynnika wariancji zależna jest od zastosowanego schematu doboru próby. Aby zapewnić poprawność wykonywanych analiz, zapoznaj się z informacjami o metodzie tworzenia wag</w:t>
            </w:r>
            <w:r>
              <w:t xml:space="preserve"> </w:t>
            </w:r>
            <w:r>
              <w:t xml:space="preserve">replikacyjnych zastosowanej w danym cyklu danego badania.</w:t>
            </w:r>
          </w:p>
        </w:tc>
      </w:tr>
    </w:tbl>
    <w:bookmarkEnd w:id="77"/>
    <w:bookmarkEnd w:id="78"/>
    <w:bookmarkStart w:id="79" w:name="X9add89ddb7af283845c997776740eaccb6a4744"/>
    <w:p>
      <w:pPr>
        <w:pStyle w:val="Heading2"/>
      </w:pPr>
      <w:r>
        <w:t xml:space="preserve">6.2 Przykład 1 – Średni wynik z matematyki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79"/>
    <w:bookmarkStart w:id="80" w:name="X21ebf0142f82e132d8c71549defcc98e66d67f4"/>
    <w:p>
      <w:pPr>
        <w:pStyle w:val="Heading2"/>
      </w:pPr>
      <w:r>
        <w:t xml:space="preserve">6.3 Przykład 2 – Średni wynik z matematyki według kraju i płci, z zastosowaniem parametru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 pokazaniem różnicy wyników pomiędzy płciami (chłopcy – dziewczęta) w poszczególnych krajach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80"/>
    <w:bookmarkStart w:id="81" w:name="Xebaa69722c1f37019ee337799db444ad26e7c9d"/>
    <w:p>
      <w:pPr>
        <w:pStyle w:val="Heading2"/>
      </w:pPr>
      <w:r>
        <w:t xml:space="preserve">6.4 Przykład 3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81"/>
    <w:bookmarkStart w:id="82" w:name="Xc29a93ad4b1c745e847e113d393d9ffa6e9bdb3"/>
    <w:p>
      <w:pPr>
        <w:pStyle w:val="Heading2"/>
      </w:pPr>
      <w:r>
        <w:t xml:space="preserve">6.5 Przykład 4 – Regresja liniowa: wpływ płci ucznia oraz braku wczesnych aktywności związanych z liczeniem na osiągnięcia uczniów w dziedzinie matematyki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cty,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ITSEX_SE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ITSEX_t            =</w:t>
      </w:r>
      <w:r>
        <w:rPr>
          <w:rStyle w:val="NormalTok"/>
        </w:rPr>
        <w:t xml:space="preserve"> ITSEX_Estimate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ITSEX_SE,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ASBH01K_t          =</w:t>
      </w:r>
      <w:r>
        <w:rPr>
          <w:rStyle w:val="NormalTok"/>
        </w:rPr>
        <w:t xml:space="preserve"> ASBH01K_Estimate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ASBH01K_SE,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   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bookmarkEnd w:id="82"/>
    <w:bookmarkStart w:id="88" w:name="X9c4670e271d38113bc3d7f3e9ee9443a6eeacf8"/>
    <w:p>
      <w:pPr>
        <w:pStyle w:val="Heading2"/>
      </w:pPr>
      <w:r>
        <w:t xml:space="preserve">6.6 Analizy na danych nauczycieli matematyki (TIMSS 2023)</w:t>
      </w:r>
    </w:p>
    <w:p>
      <w:pPr>
        <w:pStyle w:val="FirstParagraph"/>
      </w:pPr>
      <w:r>
        <w:t xml:space="preserve">Aby analizować dane dla nauczycieli musimy połączyć pliki z prefiksem ATG (teacher context) zawierające dane z ankiety nauczycielskiej z plikami z prefiksem AST (student-teacher linkage), gdyż w tym zbiorze znajdują się zmienne z wagami głównymi przypisanymi do nauczycieli (</w:t>
      </w:r>
      <w:r>
        <w:t xml:space="preserve">“TCHWGT”</w:t>
      </w:r>
      <w:r>
        <w:t xml:space="preserve"> </w:t>
      </w:r>
      <w:r>
        <w:t xml:space="preserve">- wszyscy nauczyciele,</w:t>
      </w:r>
      <w:r>
        <w:t xml:space="preserve"> </w:t>
      </w:r>
      <w:r>
        <w:t xml:space="preserve">“MATWGT”</w:t>
      </w:r>
      <w:r>
        <w:t xml:space="preserve"> </w:t>
      </w:r>
      <w:r>
        <w:t xml:space="preserve">- nauczyciele matematyki,</w:t>
      </w:r>
      <w:r>
        <w:t xml:space="preserve"> </w:t>
      </w:r>
      <w:r>
        <w:t xml:space="preserve">“SCIWGT”</w:t>
      </w:r>
      <w:r>
        <w:t xml:space="preserve"> </w:t>
      </w:r>
      <w:r>
        <w:t xml:space="preserve">- nauczyciele nauk przyrodniczych)</w:t>
      </w:r>
    </w:p>
    <w:bookmarkStart w:id="85" w:name="Xc3f2d158786646621a3635848ff89dcdd43212f"/>
    <w:p>
      <w:pPr>
        <w:pStyle w:val="Heading3"/>
      </w:pPr>
      <w:r>
        <w:t xml:space="preserve">6.6.1 Przygotowanie danych i budowa wag replikacyjnych dla nauczycieli zgodnie z zastosowaną w badaniu TIMSS 2023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1: Wczytanie danych z ankiet nauczycieli i uczniów dla wybranych krajów</w:t>
      </w:r>
      <w:r>
        <w:br/>
      </w:r>
      <w:r>
        <w:br/>
      </w:r>
      <w:r>
        <w:rPr>
          <w:rStyle w:val="CommentTok"/>
        </w:rPr>
        <w:t xml:space="preserve"># Pliki ATG – teacher context </w:t>
      </w:r>
      <w:r>
        <w:br/>
      </w:r>
      <w:r>
        <w:rPr>
          <w:rStyle w:val="CommentTok"/>
        </w:rPr>
        <w:t xml:space="preserve"># Pliki AST - student-teacher linkage</w:t>
      </w:r>
      <w:r>
        <w:br/>
      </w:r>
      <w:r>
        <w:br/>
      </w:r>
      <w:r>
        <w:rPr>
          <w:rStyle w:val="NormalTok"/>
        </w:rPr>
        <w:t xml:space="preserve">timss_2023_atg_files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".*ATG(POL|AUS|ARM|BHR).*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timss_2023_ast_files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".*AST(POL|AUS|ARM|BHR).*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timss_2023_atg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timss_2023_ast_files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Krok 2: Połączenie baz danych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timss_2023_atg,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(timss_2023_ast,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(timss_2023_atg)), </w:t>
      </w:r>
      <w:r>
        <w:br/>
      </w:r>
      <w:r>
        <w:rPr>
          <w:rStyle w:val="NormalTok"/>
        </w:rPr>
        <w:t xml:space="preserve">                                CTY, </w:t>
      </w:r>
      <w:r>
        <w:br/>
      </w:r>
      <w:r>
        <w:rPr>
          <w:rStyle w:val="NormalTok"/>
        </w:rPr>
        <w:t xml:space="preserve">                                IDCNTRY, </w:t>
      </w:r>
      <w:r>
        <w:br/>
      </w:r>
      <w:r>
        <w:rPr>
          <w:rStyle w:val="NormalTok"/>
        </w:rPr>
        <w:t xml:space="preserve">                                IDSCHOOL, </w:t>
      </w:r>
      <w:r>
        <w:br/>
      </w:r>
      <w:r>
        <w:rPr>
          <w:rStyle w:val="NormalTok"/>
        </w:rPr>
        <w:t xml:space="preserve">                                IDTEACH, </w:t>
      </w:r>
      <w:r>
        <w:br/>
      </w:r>
      <w:r>
        <w:rPr>
          <w:rStyle w:val="NormalTok"/>
        </w:rPr>
        <w:t xml:space="preserve">                                IDTEALIN),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Stworzenie 250 wag replikacyjnych z wykorzystaniem wagi nauczycieli </w:t>
      </w:r>
      <w:r>
        <w:br/>
      </w:r>
      <w:r>
        <w:rPr>
          <w:rStyle w:val="CommentTok"/>
        </w:rPr>
        <w:t xml:space="preserve"># matematyki (MATWGT)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Krok 4: Pozostawienie w zbiorze do dalszych analiz tylko nauczycieli </w:t>
      </w:r>
      <w:r>
        <w:br/>
      </w:r>
      <w:r>
        <w:rPr>
          <w:rStyle w:val="CommentTok"/>
        </w:rPr>
        <w:t xml:space="preserve"># matematyki (usuwamy wszystkie wiersze, gdzie zmienna "MATWGT" przyjmuje </w:t>
      </w:r>
      <w:r>
        <w:br/>
      </w:r>
      <w:r>
        <w:rPr>
          <w:rStyle w:val="CommentTok"/>
        </w:rPr>
        <w:t xml:space="preserve"># wartość NA)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(MATWGT))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analizach dotyczących nauczycieli matematyki w badaniu TIMSS 2023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c("matwgt",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</w:t>
            </w:r>
          </w:p>
        </w:tc>
      </w:tr>
    </w:tbl>
    <w:bookmarkEnd w:id="85"/>
    <w:bookmarkStart w:id="86" w:name="X40aa15e223c84a4f3402175038d16af9ef878cc"/>
    <w:p>
      <w:pPr>
        <w:pStyle w:val="Heading3"/>
      </w:pPr>
      <w:r>
        <w:t xml:space="preserve">6.6.2 Przykład 5 – Odsetki nauczycieli matematyki według wieku</w:t>
      </w:r>
    </w:p>
    <w:p>
      <w:pPr>
        <w:pStyle w:val="SourceCode"/>
      </w:pPr>
      <w:r>
        <w:rPr>
          <w:rStyle w:val="CommentTok"/>
        </w:rPr>
        <w:t xml:space="preserve"># rekodowanie wieku do zmiennej kategorycznej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atbg03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(atbg03,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"Under 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"25–29"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"30–39"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"40–49"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"50–59"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"60 or more"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86"/>
    <w:bookmarkStart w:id="87" w:name="Xa8ffd206cd23f1e9e3bec218942ee96ef445d0d"/>
    <w:p>
      <w:pPr>
        <w:pStyle w:val="Heading3"/>
      </w:pPr>
      <w:r>
        <w:t xml:space="preserve">6.6.3 Przykład 6 – Średnia długość stażu nauczycieli matematyki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107" w:name="analiza-danych-iccs-2022"/>
    <w:p>
      <w:pPr>
        <w:pStyle w:val="Heading1"/>
      </w:pPr>
      <w:r>
        <w:t xml:space="preserve">7. Analiza danych ICCS 2022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Część krajów uczestniczących w badaniu ICCS 2022 po raz pierwszy przeprowadziła je w formie testów komputerowych. W krajach tych zrealizowano dodatkowy komponent badania w formie ankiet papierowych, tzw. „bridge study”. Dane z próby „bridge” nie są uwzględniane w raportowaniu wyników ICCS 2022, dlatego w analizach pomijamy je, wybierając wyłącznie pliki z przyrostkiem „C4” w nazwie.</w:t>
            </w:r>
          </w:p>
        </w:tc>
      </w:tr>
    </w:tbl>
    <w:bookmarkStart w:id="98" w:name="przygotowanie-danych-1"/>
    <w:p>
      <w:pPr>
        <w:pStyle w:val="Heading2"/>
      </w:pPr>
      <w:r>
        <w:t xml:space="preserve">7.1 Przygotowanie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"C:/DATA/ICCS 2022/SPSS Data/ICCS_2022_G8"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(Chorwacja, Hiszpania, </w:t>
      </w:r>
      <w:r>
        <w:br/>
      </w:r>
      <w:r>
        <w:rPr>
          <w:rStyle w:val="CommentTok"/>
        </w:rPr>
        <w:t xml:space="preserve"># Polska, Rumunia, Szwecja) oraz poszczególnych zbiorów danych</w:t>
      </w:r>
      <w:r>
        <w:br/>
      </w:r>
      <w:r>
        <w:br/>
      </w:r>
      <w:r>
        <w:rPr>
          <w:rStyle w:val="CommentTok"/>
        </w:rPr>
        <w:t xml:space="preserve"># Uwaga: pomijamy pliki z edycji "bridge", wybierając pliki z przyrostkiem "C4"</w:t>
      </w:r>
      <w:r>
        <w:br/>
      </w:r>
      <w:r>
        <w:rPr>
          <w:rStyle w:val="CommentTok"/>
        </w:rPr>
        <w:t xml:space="preserve"># w nazwie</w:t>
      </w:r>
      <w:r>
        <w:br/>
      </w:r>
      <w:r>
        <w:br/>
      </w:r>
      <w:r>
        <w:rPr>
          <w:rStyle w:val="CommentTok"/>
        </w:rPr>
        <w:t xml:space="preserve"># Pliki Student Civic Knowledge (ISA), zawierające wyniki dotyczące kompetencji</w:t>
      </w:r>
      <w:r>
        <w:br/>
      </w:r>
      <w:r>
        <w:rPr>
          <w:rStyle w:val="CommentTok"/>
        </w:rPr>
        <w:t xml:space="preserve"># obywatelskich</w:t>
      </w:r>
      <w:r>
        <w:br/>
      </w:r>
      <w:r>
        <w:rPr>
          <w:rStyle w:val="NormalTok"/>
        </w:rPr>
        <w:t xml:space="preserve">iccs_isa_files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".*ISA(POL|HRV|ESP|SWE|ROU)C4.*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International Student Questionnaire (ISG), zawierające dane z ankiety</w:t>
      </w:r>
      <w:r>
        <w:br/>
      </w:r>
      <w:r>
        <w:rPr>
          <w:rStyle w:val="CommentTok"/>
        </w:rPr>
        <w:t xml:space="preserve"># uczniowskiej</w:t>
      </w:r>
      <w:r>
        <w:br/>
      </w:r>
      <w:r>
        <w:rPr>
          <w:rStyle w:val="NormalTok"/>
        </w:rPr>
        <w:t xml:space="preserve">iccs_isg_files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School Questionnaire (ICG), zawierające dane z ankiety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rPr>
          <w:rStyle w:val="NormalTok"/>
        </w:rPr>
        <w:t xml:space="preserve">iccs_icg_files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".*ICG(POL|HRV|ESP|SWE|ROU)C4.*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Teacher Questionnaire (ITG), zawierające dane z ankiety</w:t>
      </w:r>
      <w:r>
        <w:br/>
      </w:r>
      <w:r>
        <w:rPr>
          <w:rStyle w:val="CommentTok"/>
        </w:rPr>
        <w:t xml:space="preserve"># nauczycielskiej</w:t>
      </w:r>
      <w:r>
        <w:br/>
      </w:r>
      <w:r>
        <w:rPr>
          <w:rStyle w:val="NormalTok"/>
        </w:rPr>
        <w:t xml:space="preserve">iccs_itg_files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".*ITG(POL|HRV|ESP|SWE|ROU)C4.*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iccs_2022_isa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badania ICCS 2022, przy łączeniu zbiorów danych zawierających wyniki dotyczące kompetencji</w:t>
            </w:r>
            <w:r>
              <w:t xml:space="preserve"> </w:t>
            </w:r>
            <w:r>
              <w:t xml:space="preserve">obywatelskich uczniów (pliki z prefiksem ISA) oraz wyniki ankiety uczniowskiej (pliki z prefiksem ISG) uwzględniamy w argumencie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wartości PV, główną zmienną wagową oraz wagi replikacyjne uczniów. Jest to konieczne, ponieważ zmienne te występują w obydwu zbiorach.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danych dotyczących uczniów (wyniki dotyczące </w:t>
      </w:r>
      <w:r>
        <w:br/>
      </w:r>
      <w:r>
        <w:rPr>
          <w:rStyle w:val="CommentTok"/>
        </w:rPr>
        <w:t xml:space="preserve"># kompetencji obywatelskich oraz dane z ankiety uczniowskiej) oraz 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br/>
      </w:r>
      <w:r>
        <w:rPr>
          <w:rStyle w:val="NormalTok"/>
        </w:rPr>
        <w:t xml:space="preserve">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iccs_2022_isa,</w:t>
      </w:r>
      <w:r>
        <w:br/>
      </w:r>
      <w:r>
        <w:rPr>
          <w:rStyle w:val="NormalTok"/>
        </w:rPr>
        <w:t xml:space="preserve">  iccs_2022_isg,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"TOTWGTS"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"CIV"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iccs_2022_icg,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badaniu ICCS, możemy traktować zbiór nauczycielski jako niezależny od zbioru uczniowskiego i badać nauczycieli z wykorzystaniem wag nauczycielskich.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Nie łączymy danych nauczycieli z innymi zbiorami, ponieważ nie jest to </w:t>
      </w:r>
      <w:r>
        <w:br/>
      </w:r>
      <w:r>
        <w:rPr>
          <w:rStyle w:val="CommentTok"/>
        </w:rPr>
        <w:t xml:space="preserve"># potrzebne w naszych przykładowych analizach</w:t>
      </w:r>
      <w:r>
        <w:br/>
      </w:r>
      <w:r>
        <w:rPr>
          <w:rStyle w:val="NormalTok"/>
        </w:rPr>
        <w:t xml:space="preserve">iccs_2022_teacher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iccs_2022_itg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wypadku badania ICCS,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oczekuje, że zmienne wag replikacyjnych przyjmują nazwy bez zer prowadzących w przypadku replik o numeracji od 1 do 9 (np.</w:t>
            </w:r>
            <w:r>
              <w:t xml:space="preserve"> </w:t>
            </w:r>
            <w:r>
              <w:t xml:space="preserve">“srwgt1,…, srwgt9”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t xml:space="preserve">“trwgt1,…, trwgt9”</w:t>
            </w:r>
            <w:r>
              <w:t xml:space="preserve">). W udostępnionym przez IEA zbiorze danych ICCS 2022 nazwy zmiennych replikacyjnych zawierają zera prowadzące, przyjmując postać</w:t>
            </w:r>
            <w:r>
              <w:t xml:space="preserve"> </w:t>
            </w:r>
            <w:r>
              <w:t xml:space="preserve">“srwgt01,…, srwgt09”</w:t>
            </w:r>
            <w:r>
              <w:t xml:space="preserve">,</w:t>
            </w:r>
            <w:r>
              <w:t xml:space="preserve"> </w:t>
            </w:r>
            <w:r>
              <w:t xml:space="preserve">“trwgt01,…, trwgt09”</w:t>
            </w:r>
            <w:r>
              <w:t xml:space="preserve">. Aby funkcja zadziałała poprawnie, konieczna jest samodzielna zmiana nazw tych zmiennych.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6: usunięcie prowadzących zer w nazwach wag replikacyjnych </w:t>
      </w:r>
      <w:r>
        <w:br/>
      </w:r>
      <w:r>
        <w:rPr>
          <w:rStyle w:val="CommentTok"/>
        </w:rPr>
        <w:t xml:space="preserve"># w zbiorach uczniów i nauczycieli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"^srwgt0([1-9])$"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"^trwgt0([1-9])$"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"trwgt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(iccs_2022_teacher))</w:t>
      </w:r>
    </w:p>
    <w:bookmarkEnd w:id="98"/>
    <w:bookmarkStart w:id="99" w:name="X3e32213bd2e170aae4a91ab095fc077c7e2df67"/>
    <w:p>
      <w:pPr>
        <w:pStyle w:val="Heading2"/>
      </w:pPr>
      <w:r>
        <w:t xml:space="preserve">7.2 Przykład 1 – Średnie wyniki uczniów w zakresie wiedzy i rozumienia kwestii obywatelskich w podziale na płeć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99"/>
    <w:bookmarkStart w:id="100" w:name="X0d55aaa94d957a67e54c8137d9c358348c427e1"/>
    <w:p>
      <w:pPr>
        <w:pStyle w:val="Heading2"/>
      </w:pPr>
      <w:r>
        <w:t xml:space="preserve">7.3 Przykład 2 – Regresja liniowa: wpływ płci ucznia na wyniki w zakresie wiedzy i rozumienia kwestii obywatelskich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country,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gender_SE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gender_t           =</w:t>
      </w:r>
      <w:r>
        <w:rPr>
          <w:rStyle w:val="NormalTok"/>
        </w:rPr>
        <w:t xml:space="preserve"> gender_Estimate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gender_SE,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(Table_02),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(Table_02[i, ])),</w:t>
      </w:r>
      <w:r>
        <w:br/>
      </w:r>
      <w:r>
        <w:rPr>
          <w:rStyle w:val="NormalTok"/>
        </w:rPr>
        <w:t xml:space="preserve">                     Table_02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(Table_02)</w:t>
      </w:r>
    </w:p>
    <w:bookmarkEnd w:id="100"/>
    <w:bookmarkStart w:id="103" w:name="Xe59693d0947ac0a7bcef599ec41480834ab8abd"/>
    <w:p>
      <w:pPr>
        <w:pStyle w:val="Heading2"/>
      </w:pPr>
      <w:r>
        <w:t xml:space="preserve">7.4 Przykład 3 – Partycypacja uczniów w życiu szkoły według dyrektorów szkół</w:t>
      </w:r>
    </w:p>
    <w:bookmarkStart w:id="101" w:name="X89d77c09636690e80578395a6804f6fc6376c17"/>
    <w:p>
      <w:pPr>
        <w:pStyle w:val="Heading3"/>
      </w:pPr>
      <w:r>
        <w:t xml:space="preserve">7.4.1 Przykład 3A - Jak często uczniowie są zachęcani do włączania się w planowanie zajęć w klasie?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1"/>
    <w:bookmarkStart w:id="102" w:name="X50fcf4bd801ec41c72b868f4a3803982b9ed485"/>
    <w:p>
      <w:pPr>
        <w:pStyle w:val="Heading3"/>
      </w:pPr>
      <w:r>
        <w:t xml:space="preserve">7.4.2 Przykład 3B – Jak często uczniowie są zachęcani do włączania się w tworzenie szkolnych zasad i regulaminów?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2"/>
    <w:bookmarkEnd w:id="103"/>
    <w:bookmarkStart w:id="106" w:name="Xc71072e2aa0f23f8480680d78028ea67209ecaa"/>
    <w:p>
      <w:pPr>
        <w:pStyle w:val="Heading2"/>
      </w:pPr>
      <w:r>
        <w:t xml:space="preserve">7.5 Przykład 4 - Odpowiedzi nauczycieli na pytanie:</w:t>
      </w:r>
      <w:r>
        <w:t xml:space="preserve"> </w:t>
      </w:r>
      <w:r>
        <w:t xml:space="preserve">“Jak ważne dla bycia dobrym obywatelem w dorosłym życiu są następujące zachowania: Uczestniczenie w dyskusjach o polityce”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automatycznie pobrała wagi przypisane do nauczycieli, należy ustawić wartość argumentu</w:t>
            </w:r>
            <w:r>
              <w:t xml:space="preserve"> </w:t>
            </w:r>
            <w:r>
              <w:rPr>
                <w:b/>
                <w:bCs/>
              </w:rPr>
              <w:t xml:space="preserve">‘svy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“ICCS_T”</w:t>
            </w:r>
            <w:r>
              <w:rPr>
                <w:b/>
                <w:bCs/>
              </w:rPr>
              <w:t xml:space="preserve">’</w:t>
            </w:r>
            <w:r>
              <w:t xml:space="preserve">. Jeżeli pozostawimy argument</w:t>
            </w:r>
            <w:r>
              <w:t xml:space="preserve"> </w:t>
            </w:r>
            <w:r>
              <w:t xml:space="preserve">‘svy =</w:t>
            </w:r>
            <w:r>
              <w:t xml:space="preserve"> </w:t>
            </w:r>
            <w:r>
              <w:t xml:space="preserve">“ICCS”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konieczne</w:t>
            </w:r>
            <w:r>
              <w:t xml:space="preserve"> </w:t>
            </w:r>
            <w:r>
              <w:t xml:space="preserve">jest zastosowanie argumentu custom weights: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c("totwgtt", paste0("trwgt", 1:75))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"ICCS_T"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"it4g17e"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7" w:name="analiza-danych-talis-2018"/>
    <w:p>
      <w:pPr>
        <w:pStyle w:val="Heading1"/>
      </w:pPr>
      <w:r>
        <w:t xml:space="preserve">8. Analiza danych TALIS 2018</w:t>
      </w:r>
    </w:p>
    <w:p>
      <w:pPr>
        <w:pStyle w:val="FirstParagraph"/>
      </w:pPr>
      <w:r>
        <w:t xml:space="preserve">W przypadku badania TALIS możemy prowadzić analizy na dwóch niezależnych poziomach: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TALISTCH</w:t>
      </w:r>
      <w:r>
        <w:t xml:space="preserve"> </w:t>
      </w:r>
      <w:r>
        <w:t xml:space="preserve">– nauczyciele (domyślne wagi:</w:t>
      </w:r>
      <w:r>
        <w:t xml:space="preserve"> </w:t>
      </w:r>
      <w:r>
        <w:rPr>
          <w:rStyle w:val="VerbatimChar"/>
          <w:b/>
          <w:bCs/>
        </w:rPr>
        <w:t xml:space="preserve">TCHWGT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TRWGT1,…, TRWGT100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TALISSCH</w:t>
      </w:r>
      <w:r>
        <w:t xml:space="preserve"> </w:t>
      </w:r>
      <w:r>
        <w:t xml:space="preserve">– dyrektorzy/szkoły (domyślne wagi:</w:t>
      </w:r>
      <w:r>
        <w:t xml:space="preserve"> </w:t>
      </w:r>
      <w:r>
        <w:rPr>
          <w:rStyle w:val="VerbatimChar"/>
          <w:b/>
          <w:bCs/>
        </w:rPr>
        <w:t xml:space="preserve">SCHWGT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SRWGT1,…, SRWGT100</w:t>
      </w:r>
      <w:r>
        <w:t xml:space="preserve">).</w:t>
      </w:r>
    </w:p>
    <w:p>
      <w:pPr>
        <w:pStyle w:val="FirstParagraph"/>
      </w:pPr>
      <w:r>
        <w:t xml:space="preserve">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wczytała właściwe zmienne wagowe, konieczne jest poprawne ustawienie argumentu</w:t>
      </w:r>
      <w:r>
        <w:t xml:space="preserve"> </w:t>
      </w:r>
      <w:r>
        <w:rPr>
          <w:rStyle w:val="VerbatimChar"/>
        </w:rPr>
        <w:t xml:space="preserve">svy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svy = "TALISTCH"</w:t>
      </w:r>
      <w:r>
        <w:t xml:space="preserve"> </w:t>
      </w:r>
      <w:r>
        <w:t xml:space="preserve">dla analiz wykonywanych na zbiorze nauczycielskim, lub</w:t>
      </w:r>
      <w:r>
        <w:t xml:space="preserve"> </w:t>
      </w:r>
      <w:r>
        <w:rPr>
          <w:rStyle w:val="VerbatimChar"/>
          <w:b/>
          <w:bCs/>
        </w:rPr>
        <w:t xml:space="preserve">svy = "TALISSCH"</w:t>
      </w:r>
      <w:r>
        <w:t xml:space="preserve"> </w:t>
      </w:r>
      <w:r>
        <w:t xml:space="preserve">dla analiz wykonywanych na zbiorze szkolnym (dane z kwestionariusza dyrektorów szkół).</w:t>
      </w:r>
    </w:p>
    <w:bookmarkStart w:id="108" w:name="przygotowanie-danych-2"/>
    <w:p>
      <w:pPr>
        <w:pStyle w:val="Heading2"/>
      </w:pPr>
      <w:r>
        <w:t xml:space="preserve">8.1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dir_talis_2018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"C:/DATA/TALIS 2018/SPSS Data/SPSS_2018_international"</w:t>
      </w:r>
      <w:r>
        <w:br/>
      </w:r>
      <w:r>
        <w:br/>
      </w:r>
      <w:r>
        <w:rPr>
          <w:rStyle w:val="CommentTok"/>
        </w:rPr>
        <w:t xml:space="preserve"># Krok 2: Wczytanie danych:</w:t>
      </w:r>
      <w:r>
        <w:br/>
      </w:r>
      <w:r>
        <w:br/>
      </w:r>
      <w:r>
        <w:rPr>
          <w:rStyle w:val="CommentTok"/>
        </w:rPr>
        <w:t xml:space="preserve"># Dane dotyczące nauczycieli - pliki z prefiksem BTG:</w:t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"BTGINTT3.sav"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Dane dotyczące dyrektorów szkół - pliki z prefiksem BCG: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"BCGINTT3.sav"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(Czechy, Japonia, Kazachstan, Kolumbia) </w:t>
      </w:r>
      <w:r>
        <w:br/>
      </w:r>
      <w:r>
        <w:rPr>
          <w:rStyle w:val="CommentTok"/>
        </w:rPr>
        <w:t xml:space="preserve"># i filtrowanie zbiorów danych: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"JPN"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talis_2018_tch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talis_2018_sch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(talis_2018_sch))</w:t>
      </w:r>
    </w:p>
    <w:bookmarkEnd w:id="108"/>
    <w:bookmarkStart w:id="113" w:name="analizy-talistch---poziom-nauczycieli"/>
    <w:p>
      <w:pPr>
        <w:pStyle w:val="Heading2"/>
      </w:pPr>
      <w:r>
        <w:t xml:space="preserve">8.2 Analizy (TALISTCH - poziom nauczycieli)</w:t>
      </w:r>
    </w:p>
    <w:bookmarkStart w:id="109" w:name="Xfc3cc4fff8b8cf2054febc64322a74fed5ce41d"/>
    <w:p>
      <w:pPr>
        <w:pStyle w:val="Heading3"/>
      </w:pPr>
      <w:r>
        <w:t xml:space="preserve">8.2.1 Przykład 1 - Tabela rozkładów częstości płci nauczycieli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109"/>
    <w:bookmarkStart w:id="110" w:name="Xd402a9b0bc8406a22bfd231cf25ac0ba02162c9"/>
    <w:p>
      <w:pPr>
        <w:pStyle w:val="Heading3"/>
      </w:pPr>
      <w:r>
        <w:t xml:space="preserve">8.2.2 Przykład 2 - Średnia liczba godzin poświęcanych przez nauczycieli tygodniowo na komunikację i współpracę z rodzicami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(Analysis_02)</w:t>
      </w:r>
    </w:p>
    <w:bookmarkEnd w:id="110"/>
    <w:bookmarkStart w:id="111" w:name="Xf4f494b90b95087bb5342a47b250b5fc0dfaebd"/>
    <w:p>
      <w:pPr>
        <w:pStyle w:val="Heading3"/>
      </w:pPr>
      <w:r>
        <w:t xml:space="preserve">8.2.3 Przykład 3 - Średnia liczba godzin poświęcanych przez nauczycieli tygodniowo na aktywności związane z rozwojem zawodowym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111"/>
    <w:bookmarkStart w:id="112" w:name="X0d655b0dffeba42b0bb4c1969e573ad4f869b8c"/>
    <w:p>
      <w:pPr>
        <w:pStyle w:val="Heading3"/>
      </w:pPr>
      <w:r>
        <w:t xml:space="preserve">8.2.4 Przykład 4 - Regresja liniowa: wpływ możliwości aktywnego uczestnictwa w decyzjach dotyczących szkoły na ogólny poziom satysfakcji nauczycieli z wykonywanej pracy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"t3jobsa"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tt3g48a_t          =</w:t>
      </w:r>
      <w:r>
        <w:rPr>
          <w:rStyle w:val="NormalTok"/>
        </w:rPr>
        <w:t xml:space="preserve"> tt3g48a_Estimate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tt3g48a_SE,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 </w:t>
      </w:r>
      <w:r>
        <w:br/>
      </w:r>
      <w:r>
        <w:rPr>
          <w:rStyle w:val="NormalTok"/>
        </w:rPr>
        <w:t xml:space="preserve">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(Final_04)</w:t>
      </w:r>
    </w:p>
    <w:bookmarkEnd w:id="112"/>
    <w:bookmarkEnd w:id="113"/>
    <w:bookmarkStart w:id="116" w:name="analizy-talissch---poziom-szkół"/>
    <w:p>
      <w:pPr>
        <w:pStyle w:val="Heading2"/>
      </w:pPr>
      <w:r>
        <w:t xml:space="preserve">8.3 Analizy (TALISSCH - poziom szkół)</w:t>
      </w:r>
    </w:p>
    <w:bookmarkStart w:id="114" w:name="X997f1769467e5ac9b3036e9745e431fc3d5e4b3"/>
    <w:p>
      <w:pPr>
        <w:pStyle w:val="Heading3"/>
      </w:pPr>
      <w:r>
        <w:t xml:space="preserve">8.3.1 Przykład 5 - Średni staż pracy na stanowisku dyrektora szkoły w obecnym miejscu pracy (w latach)</w:t>
      </w:r>
    </w:p>
    <w:p>
      <w:pPr>
        <w:pStyle w:val="SourceCode"/>
      </w:pP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"tc3g04a"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114"/>
    <w:bookmarkStart w:id="115" w:name="X8c67c635f47734f32d8dc987109d503466c8ff7"/>
    <w:p>
      <w:pPr>
        <w:pStyle w:val="Heading3"/>
      </w:pPr>
      <w:r>
        <w:t xml:space="preserve">8.3.2 Przykład 6 - Odsetek dyrektorów szkół, którzy zadeklarowali, że współpracują z nauczycielami przy rozwiązywaniu problemów z dyscypliną w klasie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"tc3g22a"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0" w:name="podsumowanie"/>
    <w:p>
      <w:pPr>
        <w:pStyle w:val="Heading1"/>
      </w:pPr>
      <w:r>
        <w:t xml:space="preserve">9.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b/>
          <w:bCs/>
        </w:rPr>
        <w:t xml:space="preserve">Rrepest</w:t>
      </w:r>
      <w:r>
        <w:t xml:space="preserve"> </w:t>
      </w:r>
      <w:r>
        <w:t xml:space="preserve">może być traktowany jako dogodna alternatywa dla programu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 </w:t>
      </w:r>
      <w:r>
        <w:t xml:space="preserve">w zakresie wykonywania analiz danych z międzynarodowych badań edukacyjnych, szczególnie dla osób pracujących głównie w środowisku R. Rrepest umożliwia automatyzację wielu powtarzalnych procedur, zapewniając obsługę wielu badań edukacyjnych oraz zgodność przeprowadzonych analiz z metodologią badań OECD i IEA. Jednocześnie należy zaznaczyć, że pakiet ten nie obejmuje pełnego zakresu analiz dostępnych np. w</w:t>
      </w:r>
      <w:r>
        <w:t xml:space="preserve"> </w:t>
      </w:r>
      <w:hyperlink r:id="rId118">
        <w:r>
          <w:rPr>
            <w:rStyle w:val="Hyperlink"/>
            <w:b/>
            <w:bCs/>
          </w:rPr>
          <w:t xml:space="preserve">IEA IDB Analyzer</w:t>
        </w:r>
      </w:hyperlink>
      <w:r>
        <w:t xml:space="preserve"> </w:t>
      </w:r>
      <w:r>
        <w:t xml:space="preserve">lub w</w:t>
      </w:r>
      <w:r>
        <w:t xml:space="preserve"> </w:t>
      </w:r>
      <w:hyperlink r:id="rId119">
        <w:r>
          <w:rPr>
            <w:rStyle w:val="Hyperlink"/>
            <w:b/>
            <w:bCs/>
          </w:rPr>
          <w:t xml:space="preserve">pakiecie intsvy</w:t>
        </w:r>
      </w:hyperlink>
      <w:r>
        <w:t xml:space="preserve">.</w:t>
      </w:r>
    </w:p>
    <w:p>
      <w:pPr>
        <w:pStyle w:val="BodyText"/>
      </w:pPr>
      <w:r>
        <w:t xml:space="preserve">Zachęcamy do wykorzystywania pakietu we własnych projektach badawczych, testowania jego funkcjonalności w analizie danych z międzynarodowych badań edukacyjnych oraz do zgłaszania uwag i propozycji usprawnień bezpośrednio do autorów pakietu poprzez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repozytorium GitLab</w:t>
        </w:r>
      </w:hyperlink>
      <w:r>
        <w:t xml:space="preserve">.</w:t>
      </w:r>
    </w:p>
    <w:bookmarkEnd w:id="120"/>
    <w:bookmarkStart w:id="121" w:name="bibliografia"/>
    <w:p>
      <w:pPr>
        <w:pStyle w:val="Heading1"/>
      </w:pPr>
      <w:r>
        <w:t xml:space="preserve">10. Bibliografia</w:t>
      </w:r>
    </w:p>
    <w:p>
      <w:pPr>
        <w:numPr>
          <w:ilvl w:val="0"/>
          <w:numId w:val="1020"/>
        </w:numPr>
      </w:pPr>
      <w:r>
        <w:t xml:space="preserve">Avvisati, F., &amp; Keslair, F. (2014).</w:t>
      </w:r>
      <w:r>
        <w:t xml:space="preserve"> </w:t>
      </w:r>
      <w:r>
        <w:rPr>
          <w:i/>
          <w:iCs/>
        </w:rPr>
        <w:t xml:space="preserve">REPEST: Stata module to run estimations with weighted replicate samples and plausible values</w:t>
      </w:r>
      <w:r>
        <w:t xml:space="preserve"> </w:t>
      </w:r>
      <w:r>
        <w:t xml:space="preserve">(Statistical Software Components S457918). Boston College Department of Economics. (Wersja poprawiona: 11 grudnia 2024 r.).</w:t>
      </w:r>
    </w:p>
    <w:p>
      <w:pPr>
        <w:numPr>
          <w:ilvl w:val="0"/>
          <w:numId w:val="1020"/>
        </w:numPr>
      </w:pPr>
      <w:r>
        <w:t xml:space="preserve">Ilizaliturri, R., Avvisati, F., &amp; Keslair, F. (2025).</w:t>
      </w:r>
      <w:r>
        <w:t xml:space="preserve"> </w:t>
      </w:r>
      <w:r>
        <w:rPr>
          <w:i/>
          <w:iCs/>
        </w:rPr>
        <w:t xml:space="preserve">Rrepest: An analyzer of international large-scale assessments in education</w:t>
      </w:r>
      <w:r>
        <w:t xml:space="preserve"> </w:t>
      </w:r>
      <w:r>
        <w:t xml:space="preserve">(Version 1.5.4) [R package]. CRAN. https://CRAN.R-project.org/package=Rrepest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międzynarodowych badań edukacyjnych w R z użyciem pakietu Rrepest</dc:title>
  <dc:creator>Jakub Łobaszewski (j.lobaszewski@ibe.edu.pl); Mateusz Kleczaj (m.kleczaj@ibe.edu.pl)</dc:creator>
  <cp:keywords/>
  <dcterms:created xsi:type="dcterms:W3CDTF">2026-04-24T08:45:38Z</dcterms:created>
  <dcterms:modified xsi:type="dcterms:W3CDTF">2026-04-24T08:45:38Z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Table of contents</vt:lpwstr>
  </property>
</Properties>
</file>