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9.png" ContentType="image/png"/>
  <Override PartName="/word/media/rId29.png" ContentType="image/png"/>
  <Override PartName="/word/media/rId17.png" ContentType="image/png"/>
  <Override PartName="/word/media/rId71.png" ContentType="image/png"/>
  <Override PartName="/word/media/rId6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Analiza danych z badań międzynarodowych</w:t>
      </w:r>
      <w:r>
        <w:br/>
      </w:r>
      <w:r>
        <w:t xml:space="preserve">za pomocą pakietu intsvy w R</w:t>
      </w:r>
    </w:p>
    <w:p>
      <w:pPr>
        <w:pStyle w:val="Author"/>
      </w:pPr>
      <w:r>
        <w:t xml:space="preserve">Mateusz Kleczaj (m.kleczaj@ibe.edu.pl)</w:t>
      </w:r>
      <w:r>
        <w:t xml:space="preserve"> </w:t>
      </w:r>
      <w:r>
        <w:t xml:space="preserve">Jan Szczypiński (j.szczypinski@ibe.edu.pl)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Spis treści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22" w:name="wprowadzenie"/>
    <w:p>
      <w:pPr>
        <w:pStyle w:val="Heading2"/>
      </w:pPr>
      <w:r>
        <w:t xml:space="preserve">1 Wprowadzenie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w R to narzędzie stworzone m.in. dla analityków, naukowców i studentów zajmujących się międzynarodowymi badaniami edukacyjnymi: PISA, PIAAC, TIMSS, PIRLS oraz ICILS. Upraszcza ono analizę dużych zbiorów danych, automatycznie uwzględniając metodologię badań OECD i IEA, taką jak wagi statystyczne, wagi replikacyjne czy wartości prawdopodobne (</w:t>
      </w:r>
      <w:r>
        <w:t xml:space="preserve">plausible values</w:t>
      </w:r>
      <w:r>
        <w:t xml:space="preserve">, PVs). Dzięki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można szybko obliczać statystyki, takie jak średnie, procenty, percentyle czy współczynniki regresji, oraz przedstawiać wyniki w formie graficznej.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Dodatkowe zasoby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Pełna dokumentacja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Dokumentacja CRAN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4">
              <w:r>
                <w:rPr>
                  <w:rStyle w:val="Hyperlink"/>
                </w:rPr>
                <w:t xml:space="preserve">Filmy instruktażowe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5">
              <w:r>
                <w:rPr>
                  <w:rStyle w:val="Hyperlink"/>
                </w:rPr>
                <w:t xml:space="preserve">Przykłady wykorzystania</w:t>
              </w:r>
            </w:hyperlink>
          </w:p>
          <w:p/>
        </w:tc>
      </w:tr>
    </w:tbl>
    <w:bookmarkStart w:id="16" w:name="dlaczego-warto-używać-pakietu-intsvy"/>
    <w:p>
      <w:pPr>
        <w:pStyle w:val="Heading3"/>
      </w:pPr>
      <w:r>
        <w:t xml:space="preserve">1.1 Dlaczego warto używać pakietu intsvy?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Automatyzacja</w:t>
      </w:r>
      <w:r>
        <w:t xml:space="preserve">: upraszcza przetwarzanie złożonych danych, eliminując konieczność ręcznego uwzględniania wag i replikacji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Dostępność</w:t>
      </w:r>
      <w:r>
        <w:t xml:space="preserve">: ma łatwo dostępne funkcje do analizy i wizualizacji danych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Elastyczność</w:t>
      </w:r>
      <w:r>
        <w:t xml:space="preserve">: obsługuje dane z wielu badań edukacyjnych</w:t>
      </w:r>
    </w:p>
    <w:bookmarkEnd w:id="16"/>
    <w:bookmarkStart w:id="20" w:name="ograniczenia-pakietu"/>
    <w:p>
      <w:pPr>
        <w:pStyle w:val="Heading3"/>
      </w:pPr>
      <w:r>
        <w:t xml:space="preserve">1.2 Ograniczenia pakietu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warnin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 ograniczenia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Pakiet</w:t>
            </w:r>
            <w:r>
              <w:t xml:space="preserve"> </w:t>
            </w:r>
            <w:r>
              <w:rPr>
                <w:rStyle w:val="VerbatimChar"/>
              </w:rPr>
              <w:t xml:space="preserve">intsvy</w:t>
            </w:r>
            <w:r>
              <w:t xml:space="preserve"> </w:t>
            </w:r>
            <w:r>
              <w:t xml:space="preserve">obsługuje tylko część międzynarodowych badań edukacyjnych. Ponadto nie wspiera modeli wielopoziomowych (np. HLM) ani zaawansowanej analizy korelacji. W celu wykonania takich analiz warto rozważyć użycie innych pakietów, takich jak: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lme4</w:t>
            </w:r>
            <w:r>
              <w:t xml:space="preserve"> </w:t>
            </w:r>
            <w:r>
              <w:t xml:space="preserve">do modeli wielopoziomowych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psych</w:t>
            </w:r>
            <w:r>
              <w:t xml:space="preserve"> </w:t>
            </w:r>
            <w:r>
              <w:t xml:space="preserve">do analizy korelacji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rStyle w:val="VerbatimChar"/>
              </w:rPr>
              <w:t xml:space="preserve">EdSurvey</w:t>
            </w:r>
            <w:r>
              <w:t xml:space="preserve"> </w:t>
            </w:r>
            <w:r>
              <w:t xml:space="preserve">oferuje wsparcie dla szerszego zakresu badań międzynarodowych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Niektóre funkcje pakietu</w:t>
            </w:r>
            <w:r>
              <w:t xml:space="preserve"> </w:t>
            </w:r>
            <w:r>
              <w:rPr>
                <w:rStyle w:val="VerbatimChar"/>
              </w:rPr>
              <w:t xml:space="preserve">intsvy</w:t>
            </w:r>
            <w:r>
              <w:t xml:space="preserve"> </w:t>
            </w:r>
            <w:r>
              <w:t xml:space="preserve">jak np.</w:t>
            </w:r>
            <w:r>
              <w:t xml:space="preserve"> </w:t>
            </w:r>
            <w:r>
              <w:rPr>
                <w:rStyle w:val="VerbatimChar"/>
              </w:rPr>
              <w:t xml:space="preserve">select.merge</w:t>
            </w:r>
            <w:r>
              <w:t xml:space="preserve"> </w:t>
            </w:r>
            <w:r>
              <w:t xml:space="preserve">działają tylko na plikach</w:t>
            </w:r>
            <w:r>
              <w:t xml:space="preserve"> </w:t>
            </w:r>
            <w:r>
              <w:t xml:space="preserve">o rozszerzeniu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</w:p>
          <w:p/>
        </w:tc>
      </w:tr>
    </w:tbl>
    <w:bookmarkEnd w:id="20"/>
    <w:bookmarkStart w:id="21" w:name="obsługiwane-badania"/>
    <w:p>
      <w:pPr>
        <w:pStyle w:val="Heading3"/>
      </w:pPr>
      <w:r>
        <w:t xml:space="preserve">1.3 Obsługiwane badania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Badanie (Organizacja)</w:t>
            </w:r>
          </w:p>
        </w:tc>
        <w:tc>
          <w:tcPr/>
          <w:p>
            <w:pPr>
              <w:pStyle w:val="Compact"/>
            </w:pPr>
            <w:r>
              <w:t xml:space="preserve">Obsługiwane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TIMSS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PIRLS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ICILS (IEA)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ICCS (IEA)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PIAAC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PISA (OECD)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TALIS (OECD)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SSES (OECD)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</w:tr>
    </w:tbl>
    <w:bookmarkEnd w:id="21"/>
    <w:bookmarkEnd w:id="22"/>
    <w:bookmarkStart w:id="23" w:name="instalacja-pakietu-intsvy"/>
    <w:p>
      <w:pPr>
        <w:pStyle w:val="Heading2"/>
      </w:pPr>
      <w:r>
        <w:t xml:space="preserve">2 Instalacja pakietu intsvy</w:t>
      </w:r>
    </w:p>
    <w:p>
      <w:pPr>
        <w:pStyle w:val="FirstParagraph"/>
      </w:pPr>
      <w:r>
        <w:t xml:space="preserve">Jak w przypadku innych pakietów R,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instaluje się i ładuje do środowiska R za pomocą komend: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"intsvy"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(intsvy)</w:t>
      </w:r>
    </w:p>
    <w:p>
      <w:pPr>
        <w:pStyle w:val="FirstParagraph"/>
      </w:pPr>
      <w:r>
        <w:t xml:space="preserve">W razie potrzeby zainstaluj dodatkowe pakiety do wczytywania danych, np.</w:t>
      </w:r>
      <w:r>
        <w:t xml:space="preserve"> </w:t>
      </w:r>
      <w:r>
        <w:rPr>
          <w:rStyle w:val="VerbatimChar"/>
        </w:rPr>
        <w:t xml:space="preserve">haven</w:t>
      </w:r>
      <w:r>
        <w:t xml:space="preserve"> </w:t>
      </w:r>
      <w:r>
        <w:t xml:space="preserve">dla obsługi plików</w:t>
      </w:r>
      <w:r>
        <w:t xml:space="preserve"> </w:t>
      </w:r>
      <w:r>
        <w:rPr>
          <w:rStyle w:val="VerbatimChar"/>
        </w:rPr>
        <w:t xml:space="preserve">.sav</w:t>
      </w:r>
      <w:r>
        <w:t xml:space="preserve"> </w:t>
      </w:r>
      <w:r>
        <w:t xml:space="preserve">(SPSS):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</w:p>
    <w:bookmarkEnd w:id="23"/>
    <w:bookmarkStart w:id="49" w:name="pobieranie-danych"/>
    <w:p>
      <w:pPr>
        <w:pStyle w:val="Heading2"/>
      </w:pPr>
      <w:r>
        <w:t xml:space="preserve">3 Pobieranie danych</w:t>
      </w:r>
    </w:p>
    <w:p>
      <w:pPr>
        <w:pStyle w:val="FirstParagraph"/>
      </w:pPr>
      <w:r>
        <w:t xml:space="preserve">Dane i dokumentacja (np. opisy nazw zbiorów i zmiennych) z badań dostępne są na poniższych stronach: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PISA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www.oecd.org/pisa/data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TIMSS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www.iea.nl/data-tools/repository/timss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PIRLS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www.iea.nl/data-tools/repository/pirls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ICILS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www.iea.nl/data-tools/repository/icils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PIAAC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www.oecd.org/skills/piaac/data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Wskazówka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Aby korzystać z wszystkich funkcjonalności pakietu</w:t>
            </w:r>
            <w:r>
              <w:t xml:space="preserve"> </w:t>
            </w:r>
            <w:r>
              <w:rPr>
                <w:rStyle w:val="VerbatimChar"/>
              </w:rPr>
              <w:t xml:space="preserve">intsvy</w:t>
            </w:r>
            <w:r>
              <w:t xml:space="preserve">, najlepiej pobrać dane</w:t>
            </w:r>
            <w:r>
              <w:t xml:space="preserve"> </w:t>
            </w:r>
            <w:r>
              <w:t xml:space="preserve">w formacie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  <w:r>
              <w:t xml:space="preserve"> </w:t>
            </w:r>
            <w:r>
              <w:t xml:space="preserve">(SPSS) ze stron odpowiednich badań.</w:t>
            </w:r>
          </w:p>
          <w:p/>
        </w:tc>
      </w:tr>
    </w:tbl>
    <w:bookmarkStart w:id="38" w:name="struktura-plików-danych"/>
    <w:p>
      <w:pPr>
        <w:pStyle w:val="Heading3"/>
      </w:pPr>
      <w:r>
        <w:t xml:space="preserve">3.1 Struktura plików danych</w:t>
      </w:r>
    </w:p>
    <w:p>
      <w:pPr>
        <w:pStyle w:val="FirstParagraph"/>
      </w:pPr>
      <w:r>
        <w:t xml:space="preserve">Przed rozpoczęciem analizy dane z badań międzynarodowych muszą zostać zaimportowane do środowiska R, co wymaga zrozumienia ich złożonej struktury plików.</w:t>
      </w:r>
    </w:p>
    <w:bookmarkStart w:id="34" w:name="struktura-danych-iea"/>
    <w:p>
      <w:pPr>
        <w:pStyle w:val="Heading4"/>
      </w:pPr>
      <w:r>
        <w:t xml:space="preserve">3.1.1 Struktura danych IEA</w:t>
      </w:r>
    </w:p>
    <w:p>
      <w:pPr>
        <w:pStyle w:val="FirstParagraph"/>
      </w:pPr>
      <w:r>
        <w:t xml:space="preserve">Zbiory IEA (TIMSS, PIRLS i ICILS) są zazwyczaj podzielone na dużą liczbę plików, pogrupowanych według kraju, poziomu klasy oraz zastosowanego narzędzia badawczego. Po ściągnięciu danych z badania TIMSS 2023 dla klasy 4 w folderze zobaczymy ponad 500 plików.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Przykład nazewnictwa IEA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Przykład</w:t>
            </w:r>
            <w:r>
              <w:t xml:space="preserve">: Plik</w:t>
            </w:r>
            <w:r>
              <w:t xml:space="preserve"> </w:t>
            </w:r>
            <w:r>
              <w:rPr>
                <w:rStyle w:val="VerbatimChar"/>
              </w:rPr>
              <w:t xml:space="preserve">asapolm8.sav</w:t>
            </w:r>
            <w:r>
              <w:t xml:space="preserve"> </w:t>
            </w:r>
            <w:r>
              <w:t xml:space="preserve">zawiera dane uczniów z Polski z badania TIMSS 2023 dla klasy 4 w formacie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</w:p>
          <w:p>
            <w:pPr>
              <w:pStyle w:val="BodyText"/>
            </w:pPr>
            <w:r>
              <w:t xml:space="preserve">Gdzie: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asa</w:t>
            </w:r>
            <w:r>
              <w:t xml:space="preserve">: odpowiedzi na zadania i wyniki uczniów klasy 4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pol</w:t>
            </w:r>
            <w:r>
              <w:t xml:space="preserve">: kod kraju (Polska)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m8</w:t>
            </w:r>
            <w:r>
              <w:t xml:space="preserve">: cykl badania (TIMSS 2023)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Pierwsza litera w nazwie pliku wskazuje poziom klasy: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– klasa 4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– klasa 8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Dalsze litery określają typ danych: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asa/bsa</w:t>
            </w:r>
            <w:r>
              <w:t xml:space="preserve"> </w:t>
            </w:r>
            <w:r>
              <w:t xml:space="preserve">– wyniki uczniów oraz wartości prawdopodobne (PV)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asp/bsp</w:t>
            </w:r>
            <w:r>
              <w:t xml:space="preserve"> </w:t>
            </w:r>
            <w:r>
              <w:t xml:space="preserve">– dane procesowe (np. czasy odpowiedzi)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ash</w:t>
            </w:r>
            <w:r>
              <w:t xml:space="preserve"> </w:t>
            </w:r>
            <w:r>
              <w:t xml:space="preserve">– dane z kwestionariusza rodzica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asg/bsg</w:t>
            </w:r>
            <w:r>
              <w:t xml:space="preserve"> </w:t>
            </w:r>
            <w:r>
              <w:t xml:space="preserve">– dane z kwestionariusza ucznia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acg/bcg</w:t>
            </w:r>
            <w:r>
              <w:t xml:space="preserve"> </w:t>
            </w:r>
            <w:r>
              <w:t xml:space="preserve">– dane z kwestionariusza szkoły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atg/btg</w:t>
            </w:r>
            <w:r>
              <w:t xml:space="preserve"> </w:t>
            </w:r>
            <w:r>
              <w:t xml:space="preserve">– dane z kwestionariusza nauczyciela</w:t>
            </w:r>
          </w:p>
          <w:p/>
        </w:tc>
      </w:tr>
    </w:tbl>
    <w:bookmarkEnd w:id="34"/>
    <w:bookmarkStart w:id="37" w:name="struktura-danych-pisa"/>
    <w:p>
      <w:pPr>
        <w:pStyle w:val="Heading4"/>
      </w:pPr>
      <w:r>
        <w:t xml:space="preserve">3.1.2 Struktura danych PISA</w:t>
      </w:r>
    </w:p>
    <w:p>
      <w:pPr>
        <w:pStyle w:val="FirstParagraph"/>
      </w:pPr>
      <w:r>
        <w:t xml:space="preserve">W przypadku badania PISA dane z różnych krajów są połączone w jeden zbiorczy plik (często bardzo duży), bez podziału na osobne pliki krajowe. Pliki są podzielone według cyklu badania oraz typu danych.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Przykład nazewnictwa PISA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Przykład</w:t>
            </w:r>
            <w:r>
              <w:t xml:space="preserve">: Plik</w:t>
            </w:r>
            <w:r>
              <w:t xml:space="preserve"> </w:t>
            </w:r>
            <w:r>
              <w:rPr>
                <w:rStyle w:val="VerbatimChar"/>
              </w:rPr>
              <w:t xml:space="preserve">CY08MSP_STU_QQQ.sav</w:t>
            </w:r>
            <w:r>
              <w:t xml:space="preserve"> </w:t>
            </w:r>
            <w:r>
              <w:t xml:space="preserve">zawiera dane z kwestionariuszy uczniów z wszystkich krajów z badania realizowanego w roku 2022.</w:t>
            </w:r>
          </w:p>
          <w:p>
            <w:pPr>
              <w:pStyle w:val="BodyText"/>
            </w:pPr>
            <w:r>
              <w:t xml:space="preserve">Gdzie: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CY08</w:t>
            </w:r>
            <w:r>
              <w:t xml:space="preserve"> </w:t>
            </w:r>
            <w:r>
              <w:t xml:space="preserve">– cykl badania (tu: 2022)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MSP</w:t>
            </w:r>
            <w:r>
              <w:t xml:space="preserve"> </w:t>
            </w:r>
            <w:r>
              <w:t xml:space="preserve">– Main Study (badanie główne)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STU_QQQ</w:t>
            </w:r>
            <w:r>
              <w:t xml:space="preserve"> </w:t>
            </w:r>
            <w:r>
              <w:t xml:space="preserve">– dane uczniów (student)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Inne oznaczenia: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SCH_QQQ</w:t>
            </w:r>
            <w:r>
              <w:t xml:space="preserve"> </w:t>
            </w:r>
            <w:r>
              <w:t xml:space="preserve">– kwestionariusze szkół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TCH_QQQ</w:t>
            </w:r>
            <w:r>
              <w:t xml:space="preserve"> </w:t>
            </w:r>
            <w:r>
              <w:t xml:space="preserve">– kwestionariusze nauczycieli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STU_COG</w:t>
            </w:r>
            <w:r>
              <w:t xml:space="preserve"> </w:t>
            </w:r>
            <w:r>
              <w:t xml:space="preserve">– wyniki testów kognitywnych uczniów (czytanie, matematyka, nauki przyrodnicze itp.)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STU_FLT</w:t>
            </w:r>
            <w:r>
              <w:t xml:space="preserve"> </w:t>
            </w:r>
            <w:r>
              <w:t xml:space="preserve">– wyniki testów z edukacji finansowej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STU_ICT</w:t>
            </w:r>
            <w:r>
              <w:t xml:space="preserve"> </w:t>
            </w:r>
            <w:r>
              <w:t xml:space="preserve">– kwestionariusz dotyczący technologii informacyjno-komunikacyjnych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STU_WBQ</w:t>
            </w:r>
            <w:r>
              <w:t xml:space="preserve"> </w:t>
            </w:r>
            <w:r>
              <w:t xml:space="preserve">– kwestionariusz dobrostanu uczniów</w:t>
            </w:r>
          </w:p>
          <w:p/>
        </w:tc>
      </w:tr>
    </w:tbl>
    <w:bookmarkEnd w:id="37"/>
    <w:bookmarkEnd w:id="38"/>
    <w:bookmarkStart w:id="48" w:name="wczytywanie-i-łączenie-danych"/>
    <w:p>
      <w:pPr>
        <w:pStyle w:val="Heading3"/>
      </w:pPr>
      <w:r>
        <w:t xml:space="preserve">3.2 Wczytywanie i łączenie danych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pozwala na szybkie wczytanie i połączenie danych z różnych krajów i źródeł za pomocą funkcji</w:t>
      </w:r>
      <w:r>
        <w:t xml:space="preserve"> </w:t>
      </w:r>
      <w:r>
        <w:rPr>
          <w:rStyle w:val="VerbatimChar"/>
        </w:rPr>
        <w:t xml:space="preserve">*.select.merge()</w:t>
      </w:r>
      <w:r>
        <w:t xml:space="preserve">, gdzie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to prefiks badania (</w:t>
      </w:r>
      <w:r>
        <w:rPr>
          <w:rStyle w:val="VerbatimChar"/>
        </w:rPr>
        <w:t xml:space="preserve">timss4g</w:t>
      </w:r>
      <w:r>
        <w:t xml:space="preserve">,</w:t>
      </w:r>
      <w:r>
        <w:t xml:space="preserve"> </w:t>
      </w:r>
      <w:r>
        <w:rPr>
          <w:rStyle w:val="VerbatimChar"/>
        </w:rPr>
        <w:t xml:space="preserve">timssg8</w:t>
      </w:r>
      <w:r>
        <w:t xml:space="preserve">,</w:t>
      </w:r>
      <w:r>
        <w:t xml:space="preserve"> </w:t>
      </w:r>
      <w:r>
        <w:rPr>
          <w:rStyle w:val="VerbatimChar"/>
        </w:rPr>
        <w:t xml:space="preserve">pisa</w:t>
      </w:r>
      <w:r>
        <w:t xml:space="preserve">,</w:t>
      </w:r>
      <w:r>
        <w:t xml:space="preserve"> </w:t>
      </w:r>
      <w:r>
        <w:rPr>
          <w:rStyle w:val="VerbatimChar"/>
        </w:rPr>
        <w:t xml:space="preserve">pirls</w:t>
      </w:r>
      <w:r>
        <w:t xml:space="preserve"> </w:t>
      </w:r>
      <w:r>
        <w:t xml:space="preserve">lub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dla ICILS).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Ważne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Funkcja ta obsługuje tylko pliki w formacie</w:t>
            </w:r>
            <w:r>
              <w:t xml:space="preserve"> </w:t>
            </w:r>
            <w:r>
              <w:rPr>
                <w:rStyle w:val="VerbatimChar"/>
              </w:rPr>
              <w:t xml:space="preserve">.sav</w:t>
            </w:r>
            <w:r>
              <w:t xml:space="preserve"> </w:t>
            </w:r>
            <w:r>
              <w:t xml:space="preserve">(SPSS). Pakiet wymaga wskazania folderu, w którym znajdują się dane oraz zdefiniowania zmiennych, które chcemy połączyć. Wagi replikacyjne i końcowe oraz wartości prawdopodobne (</w:t>
            </w:r>
            <w:r>
              <w:t xml:space="preserve">plausible values</w:t>
            </w:r>
            <w:r>
              <w:t xml:space="preserve">, PV) są dodawane automatycznie. Dla badań IEA tworzona jest także zmienna</w:t>
            </w:r>
            <w:r>
              <w:t xml:space="preserve"> </w:t>
            </w:r>
            <w:r>
              <w:rPr>
                <w:rStyle w:val="VerbatimChar"/>
              </w:rPr>
              <w:t xml:space="preserve">IDCNTRYL</w:t>
            </w:r>
            <w:r>
              <w:t xml:space="preserve"> </w:t>
            </w:r>
            <w:r>
              <w:t xml:space="preserve">z pełną nazwą kraju.</w:t>
            </w:r>
          </w:p>
          <w:p/>
        </w:tc>
      </w:tr>
    </w:tbl>
    <w:bookmarkStart w:id="44" w:name="dane-z-badań-iea"/>
    <w:p>
      <w:pPr>
        <w:pStyle w:val="Heading4"/>
      </w:pPr>
      <w:r>
        <w:t xml:space="preserve">3.2.1 Dane z badań IEA</w:t>
      </w:r>
    </w:p>
    <w:p>
      <w:pPr>
        <w:pStyle w:val="SourceCode"/>
      </w:pPr>
      <w:r>
        <w:rPr>
          <w:rStyle w:val="NormalTok"/>
        </w:rPr>
        <w:t xml:space="preserve">timss23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timssg4.select.merge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"C:/ILSA/TIMSS/T23_Data_SPSS_G4/SPSS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"BHR"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"ASDAGE"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"ASBGSLM"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"ASBH01A"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"ASBH01K"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"ACBGDAS"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 powyższym przykładzie łączymy dane z badania TIMSS 2023. Upewnij się, że ścieżka do folderu z danymi (</w:t>
      </w:r>
      <w:r>
        <w:rPr>
          <w:rStyle w:val="VerbatimChar"/>
        </w:rPr>
        <w:t xml:space="preserve">folder</w:t>
      </w:r>
      <w:r>
        <w:t xml:space="preserve">) prowadzi do miejsca, w którym zostały zapisane dane pobrane ze strony IEA. Należy pamiętać, że w R ukośnik odwrotny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(stosowany w Windows) należy zastąpić ukośnikiem prostym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Argumenty</w:t>
      </w:r>
      <w:r>
        <w:t xml:space="preserve"> </w:t>
      </w:r>
      <w:r>
        <w:rPr>
          <w:rStyle w:val="VerbatimChar"/>
        </w:rPr>
        <w:t xml:space="preserve">countries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pozwalają na wybór konkretnych krajów i zmiennych według rodzaju narzędzia badawczego. W przykładzie wybrano Australię, Bahrajn, Armenię, Polskę oraz zmienne z kwestionariusza ucznia, rodzica i szkoły.</w:t>
      </w:r>
    </w:p>
    <w:p>
      <w:pPr>
        <w:pStyle w:val="BodyText"/>
      </w:pPr>
      <w:r>
        <w:t xml:space="preserve">Obiekt</w:t>
      </w:r>
      <w:r>
        <w:t xml:space="preserve"> </w:t>
      </w:r>
      <w:r>
        <w:rPr>
          <w:rStyle w:val="VerbatimChar"/>
        </w:rPr>
        <w:t xml:space="preserve">timss23</w:t>
      </w:r>
      <w:r>
        <w:t xml:space="preserve"> </w:t>
      </w:r>
      <w:r>
        <w:t xml:space="preserve">zawiera wybrane dane z badania TIMSS 2023 wskazane w argumentach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oraz domyślnie dodawane zmienne, np. wartości prawdopodobne.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Wskazówka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Funkcja</w:t>
            </w:r>
            <w:r>
              <w:t xml:space="preserve"> </w:t>
            </w:r>
            <w:r>
              <w:rPr>
                <w:rStyle w:val="VerbatimChar"/>
              </w:rPr>
              <w:t xml:space="preserve">*.var.label</w:t>
            </w:r>
            <w:r>
              <w:t xml:space="preserve"> </w:t>
            </w:r>
            <w:r>
              <w:t xml:space="preserve">może być użyta przed importem danych w celu przejrzenia plików źródłowych i podjęcia decyzji, które kraje i zmienne wybrać.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timssg4.var.label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"C:/ILSA/TIMSS/T23_Data_SPSS_G4/SPSS Data"</w:t>
      </w:r>
      <w:r>
        <w:rPr>
          <w:rStyle w:val="NormalTok"/>
        </w:rPr>
        <w:t xml:space="preserve">)</w:t>
      </w:r>
    </w:p>
    <w:bookmarkEnd w:id="44"/>
    <w:bookmarkStart w:id="47" w:name="dane-z-badań-oecd"/>
    <w:p>
      <w:pPr>
        <w:pStyle w:val="Heading4"/>
      </w:pPr>
      <w:r>
        <w:t xml:space="preserve">3.2.2 Dane z badań OECD</w:t>
      </w:r>
    </w:p>
    <w:p>
      <w:pPr>
        <w:pStyle w:val="FirstParagraph"/>
      </w:pPr>
      <w:r>
        <w:t xml:space="preserve">Sposób wczytywania danych z badania PISA jest podobny, ale wymaga dodatkowo podania nazw plików:</w:t>
      </w:r>
    </w:p>
    <w:p>
      <w:pPr>
        <w:pStyle w:val="SourceCode"/>
      </w:pPr>
      <w:r>
        <w:rPr>
          <w:rStyle w:val="NormalTok"/>
        </w:rPr>
        <w:t xml:space="preserve">pisa22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pisa.select.merge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"C:/ILSA/PISA"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school.file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"CY08MSP_SCH_QQQ.SAV"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student.file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"CY08MSP_STU_QQQ.SAV"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"ST250Q02JA"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"ST004D01T"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school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"SC001Q01TA"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"Australia"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"Canada"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Adnotacja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Dane PIAAC są dostępne w osobnych plikach dla każdego kraju (np.</w:t>
            </w:r>
            <w:r>
              <w:t xml:space="preserve"> </w:t>
            </w:r>
            <w:r>
              <w:rPr>
                <w:rStyle w:val="VerbatimChar"/>
              </w:rPr>
              <w:t xml:space="preserve">PRGPOLPUF.sav</w:t>
            </w:r>
            <w:r>
              <w:t xml:space="preserve"> </w:t>
            </w:r>
            <w:r>
              <w:t xml:space="preserve">dla Polski) i wymagają łączenia w przypadku analiz międzynarodowych. Można to zrealizować za pomocą dowolnej funkcji w R, np.</w:t>
            </w:r>
            <w:r>
              <w:t xml:space="preserve"> </w:t>
            </w:r>
            <w:r>
              <w:rPr>
                <w:rStyle w:val="VerbatimChar"/>
              </w:rPr>
              <w:t xml:space="preserve">rbind</w:t>
            </w:r>
            <w:r>
              <w:t xml:space="preserve">.</w:t>
            </w:r>
          </w:p>
          <w:p/>
        </w:tc>
      </w:tr>
    </w:tbl>
    <w:bookmarkEnd w:id="47"/>
    <w:bookmarkEnd w:id="48"/>
    <w:bookmarkEnd w:id="49"/>
    <w:bookmarkStart w:id="53" w:name="funkcje-pakietu-intsvy"/>
    <w:p>
      <w:pPr>
        <w:pStyle w:val="Heading2"/>
      </w:pPr>
      <w:r>
        <w:t xml:space="preserve">4 Funkcje pakietu intsvy</w:t>
      </w:r>
    </w:p>
    <w:p>
      <w:pPr>
        <w:pStyle w:val="FirstParagraph"/>
      </w:pPr>
      <w:r>
        <w:t xml:space="preserve">Funkcje analityczne pakietu mają postać</w:t>
      </w:r>
      <w:r>
        <w:t xml:space="preserve"> </w:t>
      </w:r>
      <w:r>
        <w:rPr>
          <w:rStyle w:val="VerbatimChar"/>
        </w:rPr>
        <w:t xml:space="preserve">*.funkcja()</w:t>
      </w:r>
      <w:r>
        <w:t xml:space="preserve">, gdzie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to prefiks odpowiadający badaniu (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dla ICILS,</w:t>
      </w:r>
      <w:r>
        <w:t xml:space="preserve"> </w:t>
      </w:r>
      <w:r>
        <w:rPr>
          <w:rStyle w:val="VerbatimChar"/>
        </w:rPr>
        <w:t xml:space="preserve">pisa</w:t>
      </w:r>
      <w:r>
        <w:t xml:space="preserve">,</w:t>
      </w:r>
      <w:r>
        <w:t xml:space="preserve"> </w:t>
      </w:r>
      <w:r>
        <w:rPr>
          <w:rStyle w:val="VerbatimChar"/>
        </w:rPr>
        <w:t xml:space="preserve">timss</w:t>
      </w:r>
      <w:r>
        <w:t xml:space="preserve">,</w:t>
      </w:r>
      <w:r>
        <w:t xml:space="preserve"> </w:t>
      </w:r>
      <w:r>
        <w:rPr>
          <w:rStyle w:val="VerbatimChar"/>
        </w:rPr>
        <w:t xml:space="preserve">pirls</w:t>
      </w:r>
      <w:r>
        <w:t xml:space="preserve">,</w:t>
      </w:r>
      <w:r>
        <w:t xml:space="preserve"> </w:t>
      </w:r>
      <w:r>
        <w:rPr>
          <w:rStyle w:val="VerbatimChar"/>
        </w:rPr>
        <w:t xml:space="preserve">piaac</w:t>
      </w:r>
      <w:r>
        <w:t xml:space="preserve">).</w:t>
      </w:r>
    </w:p>
    <w:bookmarkStart w:id="52" w:name="funkcje-analityczne-pakietu"/>
    <w:p>
      <w:pPr>
        <w:pStyle w:val="Heading3"/>
      </w:pPr>
      <w:r>
        <w:t xml:space="preserve">4.1 Funkcje analityczne pakietu: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Funkcja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*.mean.pv()</w:t>
            </w:r>
          </w:p>
        </w:tc>
        <w:tc>
          <w:tcPr/>
          <w:p>
            <w:pPr>
              <w:pStyle w:val="Compact"/>
            </w:pPr>
            <w:r>
              <w:t xml:space="preserve">Oblicza średnie dla zmiennych z wartościami prawdopodobnymi (PV), uwzględniając wagi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*.mean()</w:t>
            </w:r>
          </w:p>
        </w:tc>
        <w:tc>
          <w:tcPr/>
          <w:p>
            <w:pPr>
              <w:pStyle w:val="Compact"/>
            </w:pPr>
            <w:r>
              <w:t xml:space="preserve">Oblicza średnie dla zmiennych bez PV, np. danych z kwestionariuszy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*.table()</w:t>
            </w:r>
          </w:p>
        </w:tc>
        <w:tc>
          <w:tcPr/>
          <w:p>
            <w:pPr>
              <w:pStyle w:val="Compact"/>
            </w:pPr>
            <w:r>
              <w:t xml:space="preserve">Tworzy tabele rozkładów dla zmiennych kategorycznych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*.reg.pv()</w:t>
            </w:r>
          </w:p>
        </w:tc>
        <w:tc>
          <w:tcPr/>
          <w:p>
            <w:pPr>
              <w:pStyle w:val="Compact"/>
            </w:pPr>
            <w:r>
              <w:t xml:space="preserve">Przeprowadza regresję liniową z 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*.reg()</w:t>
            </w:r>
          </w:p>
        </w:tc>
        <w:tc>
          <w:tcPr/>
          <w:p>
            <w:pPr>
              <w:pStyle w:val="Compact"/>
            </w:pPr>
            <w:r>
              <w:t xml:space="preserve">Przeprowadza regresję liniową bez 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*.log.pv()</w:t>
            </w:r>
          </w:p>
        </w:tc>
        <w:tc>
          <w:tcPr/>
          <w:p>
            <w:pPr>
              <w:pStyle w:val="Compact"/>
            </w:pPr>
            <w:r>
              <w:t xml:space="preserve">Przeprowadza regresję logistyczną z 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*.log()</w:t>
            </w:r>
          </w:p>
        </w:tc>
        <w:tc>
          <w:tcPr/>
          <w:p>
            <w:pPr>
              <w:pStyle w:val="Compact"/>
            </w:pPr>
            <w:r>
              <w:t xml:space="preserve">Przeprowadza regresję logistyczną bez 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*.per.pv()</w:t>
            </w:r>
          </w:p>
        </w:tc>
        <w:tc>
          <w:tcPr/>
          <w:p>
            <w:pPr>
              <w:pStyle w:val="Compact"/>
            </w:pPr>
            <w:r>
              <w:t xml:space="preserve">Oblicza percentyle dla zmiennych z 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*.ben.pv()</w:t>
            </w:r>
          </w:p>
        </w:tc>
        <w:tc>
          <w:tcPr/>
          <w:p>
            <w:pPr>
              <w:pStyle w:val="Compact"/>
            </w:pPr>
            <w:r>
              <w:t xml:space="preserve">Oblicza odsetek uczniów osiągających określone poziomy umiejętności (tzw. benchmarki)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Adnotacja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Funkcje zwracają obiekty klas (np.</w:t>
            </w:r>
            <w:r>
              <w:t xml:space="preserve"> </w:t>
            </w:r>
            <w:r>
              <w:rPr>
                <w:rStyle w:val="VerbatimChar"/>
              </w:rPr>
              <w:t xml:space="preserve">intsvy.mean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intsvy.reg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intsvy.table</w:t>
            </w:r>
            <w:r>
              <w:t xml:space="preserve">), które można wizualizować za pomocą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  <w:r>
              <w:t xml:space="preserve">.</w:t>
            </w:r>
          </w:p>
          <w:p/>
        </w:tc>
      </w:tr>
    </w:tbl>
    <w:bookmarkEnd w:id="52"/>
    <w:bookmarkEnd w:id="53"/>
    <w:bookmarkStart w:id="60" w:name="przykładowe-analizy"/>
    <w:p>
      <w:pPr>
        <w:pStyle w:val="Heading2"/>
      </w:pPr>
      <w:r>
        <w:t xml:space="preserve">5 Przykładowe analizy</w:t>
      </w:r>
    </w:p>
    <w:p>
      <w:pPr>
        <w:pStyle w:val="FirstParagraph"/>
      </w:pPr>
      <w:r>
        <w:t xml:space="preserve">Poniższe przykłady pokazano na podstawie wcześniej utworzonych danych z badania TIMSS (</w:t>
      </w:r>
      <w:r>
        <w:rPr>
          <w:rStyle w:val="VerbatimChar"/>
        </w:rPr>
        <w:t xml:space="preserve">timss23</w:t>
      </w:r>
      <w:r>
        <w:t xml:space="preserve">) i PISA (</w:t>
      </w:r>
      <w:r>
        <w:rPr>
          <w:rStyle w:val="VerbatimChar"/>
        </w:rPr>
        <w:t xml:space="preserve">pisa22</w:t>
      </w:r>
      <w:r>
        <w:t xml:space="preserve">).</w:t>
      </w:r>
    </w:p>
    <w:bookmarkStart w:id="54" w:name="średnie"/>
    <w:p>
      <w:pPr>
        <w:pStyle w:val="Heading3"/>
      </w:pPr>
      <w:r>
        <w:t xml:space="preserve">5.1 Średnie</w:t>
      </w:r>
    </w:p>
    <w:p>
      <w:pPr>
        <w:pStyle w:val="SourceCode"/>
      </w:pPr>
      <w:r>
        <w:rPr>
          <w:rStyle w:val="CommentTok"/>
        </w:rPr>
        <w:t xml:space="preserve"># Średni wynik z matematyki według kraju i płci w badaniu TIMSS</w:t>
      </w:r>
      <w:r>
        <w:br/>
      </w:r>
      <w:r>
        <w:rPr>
          <w:rStyle w:val="FunctionTok"/>
        </w:rPr>
        <w:t xml:space="preserve">timss.mean.pv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"ASMMAT0"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Średni wynik z matematyki według kraju i płci w badaniu PISA</w:t>
      </w:r>
      <w:r>
        <w:br/>
      </w:r>
      <w:r>
        <w:rPr>
          <w:rStyle w:val="FunctionTok"/>
        </w:rPr>
        <w:t xml:space="preserve">pisa.mean.pv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"ST004D01T"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</w:t>
      </w:r>
      <w:r>
        <w:br/>
      </w:r>
      <w:r>
        <w:rPr>
          <w:rStyle w:val="NormalTok"/>
        </w:rPr>
        <w:t xml:space="preserve">)</w:t>
      </w:r>
    </w:p>
    <w:bookmarkEnd w:id="54"/>
    <w:bookmarkStart w:id="55" w:name="tabela-rozkładów-częstości-płci"/>
    <w:p>
      <w:pPr>
        <w:pStyle w:val="Heading3"/>
      </w:pPr>
      <w:r>
        <w:t xml:space="preserve">5.2 Tabela rozkładów częstości płci</w:t>
      </w:r>
    </w:p>
    <w:p>
      <w:pPr>
        <w:pStyle w:val="SourceCode"/>
      </w:pPr>
      <w:r>
        <w:rPr>
          <w:rStyle w:val="CommentTok"/>
        </w:rPr>
        <w:t xml:space="preserve"># Rozkład częstości płci uczniów w poszczególnych krajach (TIMSS)</w:t>
      </w:r>
      <w:r>
        <w:br/>
      </w:r>
      <w:r>
        <w:rPr>
          <w:rStyle w:val="FunctionTok"/>
        </w:rPr>
        <w:t xml:space="preserve">timss.table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timss23)</w:t>
      </w:r>
      <w:r>
        <w:br/>
      </w:r>
      <w:r>
        <w:br/>
      </w:r>
      <w:r>
        <w:rPr>
          <w:rStyle w:val="CommentTok"/>
        </w:rPr>
        <w:t xml:space="preserve"># Rozkład częstości płci uczniów w poszczególnych krajach (PISA)</w:t>
      </w:r>
      <w:r>
        <w:br/>
      </w:r>
      <w:r>
        <w:rPr>
          <w:rStyle w:val="FunctionTok"/>
        </w:rPr>
        <w:t xml:space="preserve">pisa.table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"ST004D01T"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pisa22)</w:t>
      </w:r>
    </w:p>
    <w:bookmarkEnd w:id="55"/>
    <w:bookmarkStart w:id="56" w:name="regresja-liniowa"/>
    <w:p>
      <w:pPr>
        <w:pStyle w:val="Heading3"/>
      </w:pPr>
      <w:r>
        <w:t xml:space="preserve">5.3 Regresja liniowa</w:t>
      </w:r>
    </w:p>
    <w:p>
      <w:pPr>
        <w:pStyle w:val="SourceCode"/>
      </w:pPr>
      <w:r>
        <w:rPr>
          <w:rStyle w:val="CommentTok"/>
        </w:rPr>
        <w:t xml:space="preserve"># Wpływ płci ucznia i wczesnych aktywności związanych z liczeniem (ASBH01K)</w:t>
      </w:r>
      <w:r>
        <w:br/>
      </w:r>
      <w:r>
        <w:rPr>
          <w:rStyle w:val="CommentTok"/>
        </w:rPr>
        <w:t xml:space="preserve"># na wyniki z matematyki w TIMSS</w:t>
      </w:r>
      <w:r>
        <w:br/>
      </w:r>
      <w:r>
        <w:rPr>
          <w:rStyle w:val="FunctionTok"/>
        </w:rPr>
        <w:t xml:space="preserve">timss.reg.pv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"ASMMAT0"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"ASBH01K"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Wpływ statusu społeczno-ekonomicznego (ESCS) na wyniki z matematyki w PISA</w:t>
      </w:r>
      <w:r>
        <w:br/>
      </w:r>
      <w:r>
        <w:rPr>
          <w:rStyle w:val="FunctionTok"/>
        </w:rPr>
        <w:t xml:space="preserve">pisa.reg.pv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</w:t>
      </w:r>
      <w:r>
        <w:br/>
      </w:r>
      <w:r>
        <w:rPr>
          <w:rStyle w:val="NormalTok"/>
        </w:rPr>
        <w:t xml:space="preserve">)</w:t>
      </w:r>
    </w:p>
    <w:bookmarkEnd w:id="56"/>
    <w:bookmarkStart w:id="57" w:name="regresja-logistyczna"/>
    <w:p>
      <w:pPr>
        <w:pStyle w:val="Heading3"/>
      </w:pPr>
      <w:r>
        <w:t xml:space="preserve">5.4 Regresja logistyczna</w:t>
      </w:r>
    </w:p>
    <w:p>
      <w:pPr>
        <w:pStyle w:val="SourceCode"/>
      </w:pPr>
      <w:r>
        <w:rPr>
          <w:rStyle w:val="CommentTok"/>
        </w:rPr>
        <w:t xml:space="preserve"># Prawdopodobieństwo osiągnięcia ≥550 pkt z matematyki w TIMSS na podstawie </w:t>
      </w:r>
      <w:r>
        <w:br/>
      </w:r>
      <w:r>
        <w:rPr>
          <w:rStyle w:val="CommentTok"/>
        </w:rPr>
        <w:t xml:space="preserve"># płci i postawywobec matematyki</w:t>
      </w:r>
      <w:r>
        <w:br/>
      </w:r>
      <w:r>
        <w:rPr>
          <w:rStyle w:val="FunctionTok"/>
        </w:rPr>
        <w:t xml:space="preserve">timss.log.pv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"ASMMAT0"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"ASBGSLM"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Prawdopodobieństwo posiadania komputera w domu w zależności od statusu </w:t>
      </w:r>
      <w:r>
        <w:br/>
      </w:r>
      <w:r>
        <w:rPr>
          <w:rStyle w:val="CommentTok"/>
        </w:rPr>
        <w:t xml:space="preserve"># społeczno-ekonomicznego (ESCS) w PISA</w:t>
      </w:r>
      <w:r>
        <w:br/>
      </w:r>
      <w:r>
        <w:rPr>
          <w:rStyle w:val="FunctionTok"/>
        </w:rPr>
        <w:t xml:space="preserve">pisa.log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"ST250Q02JA"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pisa22)</w:t>
      </w:r>
    </w:p>
    <w:bookmarkEnd w:id="57"/>
    <w:bookmarkStart w:id="58" w:name="percentyle"/>
    <w:p>
      <w:pPr>
        <w:pStyle w:val="Heading3"/>
      </w:pPr>
      <w:r>
        <w:t xml:space="preserve">5.5 Percentyle</w:t>
      </w:r>
    </w:p>
    <w:p>
      <w:pPr>
        <w:pStyle w:val="SourceCode"/>
      </w:pPr>
      <w:r>
        <w:rPr>
          <w:rStyle w:val="CommentTok"/>
        </w:rPr>
        <w:t xml:space="preserve"># Percentyle osiągnięć matematycznych w TIMSS (np. 5, 25, 50, 75, 95)</w:t>
      </w:r>
      <w:r>
        <w:br/>
      </w:r>
      <w:r>
        <w:rPr>
          <w:rStyle w:val="FunctionTok"/>
        </w:rPr>
        <w:t xml:space="preserve">timss.per.pv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"ASMMAT0"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Percentyle osiągnięć matematycznych w PISA (np. 10, 25, 75, 90)</w:t>
      </w:r>
      <w:r>
        <w:br/>
      </w:r>
      <w:r>
        <w:rPr>
          <w:rStyle w:val="FunctionTok"/>
        </w:rPr>
        <w:t xml:space="preserve">pisa.per.pv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</w:t>
      </w:r>
      <w:r>
        <w:br/>
      </w:r>
      <w:r>
        <w:rPr>
          <w:rStyle w:val="NormalTok"/>
        </w:rPr>
        <w:t xml:space="preserve">)</w:t>
      </w:r>
    </w:p>
    <w:bookmarkEnd w:id="58"/>
    <w:bookmarkStart w:id="59" w:name="X7f1c5dbcbdb1e2aaf56be34aba5f1329a460f4b"/>
    <w:p>
      <w:pPr>
        <w:pStyle w:val="Heading3"/>
      </w:pPr>
      <w:r>
        <w:t xml:space="preserve">5.6 Obliczanie odsetka uczniów na każdym z poziomów umiejętności</w:t>
      </w:r>
    </w:p>
    <w:p>
      <w:pPr>
        <w:pStyle w:val="SourceCode"/>
      </w:pPr>
      <w:r>
        <w:rPr>
          <w:rStyle w:val="CommentTok"/>
        </w:rPr>
        <w:t xml:space="preserve"># Odsetek uczniów w TIMSS osiągających wyniki równe lub wyższe</w:t>
      </w:r>
      <w:r>
        <w:br/>
      </w:r>
      <w:r>
        <w:rPr>
          <w:rStyle w:val="CommentTok"/>
        </w:rPr>
        <w:t xml:space="preserve"># od progów: 400, 475, 550, 625 pkt</w:t>
      </w:r>
      <w:r>
        <w:br/>
      </w:r>
      <w:r>
        <w:rPr>
          <w:rStyle w:val="FunctionTok"/>
        </w:rPr>
        <w:t xml:space="preserve">timss.ben.pv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"ASMMAT0"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Odsetek uczniów w PISA osiągających wyniki równe lub wyższe </w:t>
      </w:r>
      <w:r>
        <w:br/>
      </w:r>
      <w:r>
        <w:rPr>
          <w:rStyle w:val="CommentTok"/>
        </w:rPr>
        <w:t xml:space="preserve"># od progów: poziomy 1–6 (355–698 pkt)</w:t>
      </w:r>
      <w:r>
        <w:br/>
      </w:r>
      <w:r>
        <w:rPr>
          <w:rStyle w:val="FunctionTok"/>
        </w:rPr>
        <w:t xml:space="preserve">pisa.ben.pv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698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</w:t>
      </w:r>
      <w:r>
        <w:br/>
      </w:r>
      <w:r>
        <w:rPr>
          <w:rStyle w:val="NormalTok"/>
        </w:rPr>
        <w:t xml:space="preserve">)</w:t>
      </w:r>
    </w:p>
    <w:bookmarkEnd w:id="59"/>
    <w:bookmarkEnd w:id="60"/>
    <w:bookmarkStart w:id="75" w:name="prezentacja-graficzna"/>
    <w:p>
      <w:pPr>
        <w:pStyle w:val="Heading2"/>
      </w:pPr>
      <w:r>
        <w:t xml:space="preserve">6 Prezentacja graficzna</w:t>
      </w:r>
    </w:p>
    <w:p>
      <w:pPr>
        <w:pStyle w:val="FirstParagraph"/>
      </w:pPr>
      <w:r>
        <w:t xml:space="preserve">Wyniki analiz przeprowadzonych za pomocą funkcji pakietu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(średnich, regresji, rozkładów częstości) można wizualizować za pomocą dedykowanych funkcji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Dodatkowe opcje eksportu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Dodatkowo wyniki można:</w:t>
            </w:r>
            <w:r>
              <w:t xml:space="preserve"> </w:t>
            </w:r>
            <w:r>
              <w:t xml:space="preserve">- Wyświetlić w konsoli za pomocą funkcji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  <w:r>
              <w:t xml:space="preserve"> </w:t>
            </w:r>
            <w:r>
              <w:t xml:space="preserve">z pakietu podstawowego R</w:t>
            </w:r>
            <w:r>
              <w:t xml:space="preserve"> </w:t>
            </w:r>
            <w:r>
              <w:t xml:space="preserve">- Eksportować do pliku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 używając opcji</w:t>
            </w:r>
            <w:r>
              <w:t xml:space="preserve"> </w:t>
            </w:r>
            <w:r>
              <w:rPr>
                <w:rStyle w:val="VerbatimChar"/>
              </w:rPr>
              <w:t xml:space="preserve">export = TRUE</w:t>
            </w:r>
            <w:r>
              <w:t xml:space="preserve"> </w:t>
            </w:r>
            <w:r>
              <w:t xml:space="preserve">w funkcjach analitycznych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Funkcja</w:t>
            </w:r>
            <w:r>
              <w:t xml:space="preserve"> </w:t>
            </w:r>
            <w:r>
              <w:rPr>
                <w:rStyle w:val="VerbatimChar"/>
              </w:rPr>
              <w:t xml:space="preserve">na.omit()</w:t>
            </w:r>
            <w:r>
              <w:t xml:space="preserve"> </w:t>
            </w:r>
            <w:r>
              <w:t xml:space="preserve">stosowana w przykładach usuwa braki danych z wyników analizy przed ich wizualizacją, co zapobiega błędom w generowaniu wykresów.</w:t>
            </w:r>
          </w:p>
          <w:p/>
        </w:tc>
      </w:tr>
    </w:tbl>
    <w:bookmarkStart w:id="66" w:name="średnie-1"/>
    <w:p>
      <w:pPr>
        <w:pStyle w:val="Heading3"/>
      </w:pPr>
      <w:r>
        <w:t xml:space="preserve">6.1 Średnie</w:t>
      </w:r>
    </w:p>
    <w:p>
      <w:pPr>
        <w:pStyle w:val="SourceCode"/>
      </w:pPr>
      <w:r>
        <w:rPr>
          <w:rStyle w:val="CommentTok"/>
        </w:rPr>
        <w:t xml:space="preserve"># Wykres punktowy z przedziałami ufności pokazujący średnie wyniki z matematyki </w:t>
      </w:r>
      <w:r>
        <w:br/>
      </w:r>
      <w:r>
        <w:rPr>
          <w:rStyle w:val="CommentTok"/>
        </w:rPr>
        <w:t xml:space="preserve"># w każdym kraju podziale na płeć (TIMSS)</w:t>
      </w:r>
      <w:r>
        <w:br/>
      </w:r>
      <w:r>
        <w:rPr>
          <w:rStyle w:val="FunctionTok"/>
        </w:rPr>
        <w:t xml:space="preserve">plot.intsvy.mean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timss.mean.pv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"ASMMAT0"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g/sredni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regresje"/>
    <w:p>
      <w:pPr>
        <w:pStyle w:val="Heading3"/>
      </w:pPr>
      <w:r>
        <w:t xml:space="preserve">6.2 Regresje</w:t>
      </w:r>
    </w:p>
    <w:p>
      <w:pPr>
        <w:pStyle w:val="SourceCode"/>
      </w:pPr>
      <w:r>
        <w:rPr>
          <w:rStyle w:val="CommentTok"/>
        </w:rPr>
        <w:t xml:space="preserve"># Wykres pokazujący związek statusu społeczno-ekonomicznego (ESCS) </w:t>
      </w:r>
      <w:r>
        <w:br/>
      </w:r>
      <w:r>
        <w:rPr>
          <w:rStyle w:val="CommentTok"/>
        </w:rPr>
        <w:t xml:space="preserve"># z osiągnięciami uczniów w matematyce w podziale na kraje (PISA)</w:t>
      </w:r>
      <w:r>
        <w:br/>
      </w:r>
      <w:r>
        <w:rPr>
          <w:rStyle w:val="FunctionTok"/>
        </w:rPr>
        <w:t xml:space="preserve">plot.intsvy.reg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pisa.reg.pv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pvlabel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"PV"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pisa22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g/regresj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częstości"/>
    <w:p>
      <w:pPr>
        <w:pStyle w:val="Heading3"/>
      </w:pPr>
      <w:r>
        <w:t xml:space="preserve">6.3 Częstości</w:t>
      </w:r>
    </w:p>
    <w:p>
      <w:pPr>
        <w:pStyle w:val="SourceCode"/>
      </w:pPr>
      <w:r>
        <w:rPr>
          <w:rStyle w:val="CommentTok"/>
        </w:rPr>
        <w:t xml:space="preserve"># Skumulowany wykres słupkowy pokazujący rozkład częstości płci uczniów </w:t>
      </w:r>
      <w:r>
        <w:br/>
      </w:r>
      <w:r>
        <w:rPr>
          <w:rStyle w:val="CommentTok"/>
        </w:rPr>
        <w:t xml:space="preserve"># w każdym z krajów (TIMSS)</w:t>
      </w:r>
      <w:r>
        <w:br/>
      </w:r>
      <w:r>
        <w:br/>
      </w:r>
      <w:r>
        <w:rPr>
          <w:rStyle w:val="FunctionTok"/>
        </w:rPr>
        <w:t xml:space="preserve">plot.intsvy.table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timss.table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"ITSEX"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"IDCNTRYL"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timss23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stacked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g/czestosci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End w:id="75"/>
    <w:bookmarkStart w:id="78" w:name="podsumowanie"/>
    <w:p>
      <w:pPr>
        <w:pStyle w:val="Heading2"/>
      </w:pPr>
      <w:r>
        <w:t xml:space="preserve">7 Podsumowanie</w:t>
      </w:r>
    </w:p>
    <w:p>
      <w:pPr>
        <w:pStyle w:val="FirstParagraph"/>
      </w:pPr>
      <w:r>
        <w:t xml:space="preserve">Pakiet</w:t>
      </w:r>
      <w:r>
        <w:t xml:space="preserve"> </w:t>
      </w:r>
      <w:r>
        <w:rPr>
          <w:rStyle w:val="VerbatimChar"/>
        </w:rPr>
        <w:t xml:space="preserve">intsvy</w:t>
      </w:r>
      <w:r>
        <w:t xml:space="preserve"> </w:t>
      </w:r>
      <w:r>
        <w:t xml:space="preserve">automatyzuje analizy danych edukacyjnych zawierających wartości prawdopodobne (PVs) oraz wagi replikacyjne, automatycznie dobierając schemat ważenia i obsługując specyfikę danych</w:t>
      </w:r>
      <w:r>
        <w:t xml:space="preserve"> </w:t>
      </w:r>
      <w:r>
        <w:t xml:space="preserve">z międzynarodowych badań edukacyjnych.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C:\Program Files\RStudio\resources\app\bin\quarto\share\formats\docx\important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Zalecenia końcowe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Dokumentacja</w:t>
            </w:r>
            <w:r>
              <w:t xml:space="preserve">: Kluczowe jest dokładne zapoznanie się z dokumentacją konkretnego badania, aby prawidłowo określić strukturę danych, nazwy zmiennych oraz odpowiednie funkcje pakietu</w:t>
            </w:r>
            <w:r>
              <w:t xml:space="preserve"> </w:t>
            </w:r>
            <w:r>
              <w:rPr>
                <w:rStyle w:val="VerbatimChar"/>
              </w:rPr>
              <w:t xml:space="preserve">intsvy</w:t>
            </w:r>
          </w:p>
          <w:p>
            <w:pPr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Weryfikacja</w:t>
            </w:r>
            <w:r>
              <w:t xml:space="preserve">: Zaleca się weryfikację wyników analiz z oficjalnymi raportami międzynarodowymi lub krajowymi, aby potwierdzić ich poprawność</w:t>
            </w:r>
          </w:p>
          <w:p/>
        </w:tc>
      </w:tr>
    </w:tbl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9" Target="media/rId9.png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63" Target="media/rId63.png" /><Relationship Type="http://schemas.openxmlformats.org/officeDocument/2006/relationships/hyperlink" Id="rId13" Target="https://cran.r-project.org/package=intsvy" TargetMode="External" /><Relationship Type="http://schemas.openxmlformats.org/officeDocument/2006/relationships/hyperlink" Id="rId12" Target="https://github.com/eldafani/intsvy" TargetMode="External" /><Relationship Type="http://schemas.openxmlformats.org/officeDocument/2006/relationships/hyperlink" Id="rId14" Target="https://ibe.edu.pl/pl/miedzynarodowe-badania-edukacyjne-zasoby/materialy-do-analizy-danych/filmy-instruktazowe" TargetMode="External" /><Relationship Type="http://schemas.openxmlformats.org/officeDocument/2006/relationships/hyperlink" Id="rId15" Target="https://www.daniel-caro.com/intsvy" TargetMode="External" /><Relationship Type="http://schemas.openxmlformats.org/officeDocument/2006/relationships/hyperlink" Id="rId27" Target="https://www.iea.nl/data-tools/repository/icils" TargetMode="External" /><Relationship Type="http://schemas.openxmlformats.org/officeDocument/2006/relationships/hyperlink" Id="rId26" Target="https://www.iea.nl/data-tools/repository/pirls" TargetMode="External" /><Relationship Type="http://schemas.openxmlformats.org/officeDocument/2006/relationships/hyperlink" Id="rId25" Target="https://www.iea.nl/data-tools/repository/timss" TargetMode="External" /><Relationship Type="http://schemas.openxmlformats.org/officeDocument/2006/relationships/hyperlink" Id="rId24" Target="https://www.oecd.org/pisa/data" TargetMode="External" /><Relationship Type="http://schemas.openxmlformats.org/officeDocument/2006/relationships/hyperlink" Id="rId28" Target="https://www.oecd.org/skills/piaac/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package=intsvy" TargetMode="External" /><Relationship Type="http://schemas.openxmlformats.org/officeDocument/2006/relationships/hyperlink" Id="rId12" Target="https://github.com/eldafani/intsvy" TargetMode="External" /><Relationship Type="http://schemas.openxmlformats.org/officeDocument/2006/relationships/hyperlink" Id="rId14" Target="https://ibe.edu.pl/pl/miedzynarodowe-badania-edukacyjne-zasoby/materialy-do-analizy-danych/filmy-instruktazowe" TargetMode="External" /><Relationship Type="http://schemas.openxmlformats.org/officeDocument/2006/relationships/hyperlink" Id="rId15" Target="https://www.daniel-caro.com/intsvy" TargetMode="External" /><Relationship Type="http://schemas.openxmlformats.org/officeDocument/2006/relationships/hyperlink" Id="rId27" Target="https://www.iea.nl/data-tools/repository/icils" TargetMode="External" /><Relationship Type="http://schemas.openxmlformats.org/officeDocument/2006/relationships/hyperlink" Id="rId26" Target="https://www.iea.nl/data-tools/repository/pirls" TargetMode="External" /><Relationship Type="http://schemas.openxmlformats.org/officeDocument/2006/relationships/hyperlink" Id="rId25" Target="https://www.iea.nl/data-tools/repository/timss" TargetMode="External" /><Relationship Type="http://schemas.openxmlformats.org/officeDocument/2006/relationships/hyperlink" Id="rId24" Target="https://www.oecd.org/pisa/data" TargetMode="External" /><Relationship Type="http://schemas.openxmlformats.org/officeDocument/2006/relationships/hyperlink" Id="rId28" Target="https://www.oecd.org/skills/piaac/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danych z badań międzynarodowych za pomocą pakietu intsvy w R</dc:title>
  <dc:creator>Mateusz Kleczaj (m.kleczaj@ibe.edu.pl)  Jan Szczypiński (j.szczypinski@ibe.edu.pl)</dc:creator>
  <dc:language>pl</dc:language>
  <cp:keywords/>
  <dcterms:created xsi:type="dcterms:W3CDTF">2026-06-29T19:02:32Z</dcterms:created>
  <dcterms:modified xsi:type="dcterms:W3CDTF">2026-06-29T19:02:32Z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expand">
    <vt:lpwstr>True</vt:lpwstr>
  </property>
  <property fmtid="{D5CDD505-2E9C-101B-9397-08002B2CF9AE}" pid="12" name="toc-title">
    <vt:lpwstr>Spis treści</vt:lpwstr>
  </property>
</Properties>
</file>