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4"/>
        </w:rPr>
        <w:t>ПОРТАЛ ВОЕНКОМАТОВ</w:t>
        <w:br/>
        <w:t>Учёт бланков строгой отчётности (БСО)</w:t>
      </w:r>
    </w:p>
    <w:p>
      <w:pPr>
        <w:jc w:val="center"/>
      </w:pPr>
      <w:r>
        <w:rPr>
          <w:color w:val="475569"/>
          <w:sz w:val="28"/>
        </w:rPr>
        <w:t>Отчёт о реализованном функционале</w:t>
        <w:br/>
        <w:t>и задачах на следующий период</w:t>
      </w:r>
    </w:p>
    <w:p>
      <w:pPr>
        <w:jc w:val="center"/>
      </w:pPr>
      <w:r>
        <w:rPr>
          <w:sz w:val="22"/>
        </w:rPr>
        <w:br/>
        <w:t>Версия: 0.0.1 (прототип UI)</w:t>
        <w:br/>
        <w:t>Дата формирования: 25.05.2026</w:t>
        <w:br/>
        <w:t>Источник дизайна: Figma</w:t>
        <w:br/>
      </w:r>
    </w:p>
    <w:p>
      <w:r>
        <w:br w:type="page"/>
      </w:r>
    </w:p>
    <w:p>
      <w:pPr>
        <w:pStyle w:val="Heading1"/>
      </w:pPr>
      <w:r>
        <w:rPr>
          <w:color w:val="1E293B"/>
        </w:rPr>
        <w:t>Содержание</w:t>
      </w:r>
    </w:p>
    <w:p>
      <w:r>
        <w:t>1. Платформа в целом</w:t>
      </w:r>
    </w:p>
    <w:p>
      <w:r>
        <w:t>2. Роли пользователей и кабинеты</w:t>
      </w:r>
    </w:p>
    <w:p>
      <w:r>
        <w:t>3. Навигация и интерфейс</w:t>
      </w:r>
    </w:p>
    <w:p>
      <w:r>
        <w:t>4. Дашборд</w:t>
      </w:r>
    </w:p>
    <w:p>
      <w:r>
        <w:t>5. Бланки (реестр и карточка)</w:t>
      </w:r>
    </w:p>
    <w:p>
      <w:r>
        <w:t>6. Поступление номеров от типографии</w:t>
      </w:r>
    </w:p>
    <w:p>
      <w:r>
        <w:t>7. Распределение по организационной структуре</w:t>
      </w:r>
    </w:p>
    <w:p>
      <w:r>
        <w:t>8. Операции с бланками</w:t>
      </w:r>
    </w:p>
    <w:p>
      <w:r>
        <w:t>9. На подписании (ЭЦП комиссара)</w:t>
      </w:r>
    </w:p>
    <w:p>
      <w:r>
        <w:t>10. Перемещения между организациями</w:t>
      </w:r>
    </w:p>
    <w:p>
      <w:r>
        <w:t>11. Отчёты</w:t>
      </w:r>
    </w:p>
    <w:p>
      <w:r>
        <w:t>12. Администрирование</w:t>
      </w:r>
    </w:p>
    <w:p>
      <w:r>
        <w:t>13. Модель данных и контракт API</w:t>
      </w:r>
    </w:p>
    <w:p>
      <w:r>
        <w:t>14. Формат обмена данными (JSON)</w:t>
      </w:r>
    </w:p>
    <w:p>
      <w:r>
        <w:t>15. Заглушки и ограничения прототипа</w:t>
      </w:r>
    </w:p>
    <w:p>
      <w:r>
        <w:t>16. Проблемные вопросы и задачи</w:t>
      </w:r>
    </w:p>
    <w:p>
      <w:r>
        <w:t>17. Краткое резюме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Платформа в целом</w:t>
      </w:r>
    </w:p>
    <w:p>
      <w:r>
        <w:t>Система «Учёт бланков строгой отчётности» (БСО) — веб-приложение для учёта, движения и контроля бланков (военные билеты, справки, удостоверения) по иерархии военкоматов: от центрального органа до муниципальных военкоматов (ВК МО).</w:t>
      </w:r>
    </w:p>
    <w:p>
      <w:pPr>
        <w:pStyle w:val="Heading2"/>
      </w:pPr>
      <w:r>
        <w:rPr>
          <w:color w:val="1E293B"/>
        </w:rPr>
        <w:t>Назначение</w:t>
      </w:r>
    </w:p>
    <w:p>
      <w:pPr>
        <w:pStyle w:val="ListBullet"/>
      </w:pPr>
      <w:r>
        <w:t xml:space="preserve"> — регистрация поступления серий номеров от типографии.</w:t>
      </w:r>
    </w:p>
    <w:p>
      <w:pPr>
        <w:pStyle w:val="ListBullet"/>
      </w:pPr>
      <w:r>
        <w:t xml:space="preserve"> — распределение бланков по военным округам, ОМУ, ВК субъекта и ВК МО.</w:t>
      </w:r>
    </w:p>
    <w:p>
      <w:pPr>
        <w:pStyle w:val="ListBullet"/>
      </w:pPr>
      <w:r>
        <w:t xml:space="preserve"> — операции выдачи, возврата, замены, списания, сдачи на хранение.</w:t>
      </w:r>
    </w:p>
    <w:p>
      <w:pPr>
        <w:pStyle w:val="ListBullet"/>
      </w:pPr>
      <w:r>
        <w:t xml:space="preserve"> — подписание ключевых операций военным комиссаром (ЭЦП).</w:t>
      </w:r>
    </w:p>
    <w:p>
      <w:pPr>
        <w:pStyle w:val="ListBullet"/>
      </w:pPr>
      <w:r>
        <w:t xml:space="preserve"> — отчётность и контроль остатков на каждом уровне.</w:t>
      </w:r>
    </w:p>
    <w:p>
      <w:pPr>
        <w:pStyle w:val="Heading2"/>
      </w:pPr>
      <w:r>
        <w:rPr>
          <w:color w:val="1E293B"/>
        </w:rPr>
        <w:t>Технологический стек</w:t>
      </w:r>
    </w:p>
    <w:p>
      <w:pPr>
        <w:pStyle w:val="ListBullet"/>
      </w:pPr>
      <w:r>
        <w:rPr>
          <w:b/>
        </w:rPr>
        <w:t>Frontend:</w:t>
      </w:r>
      <w:r>
        <w:t xml:space="preserve"> — React 18 + TypeScript, Vite 6, React Router 7, Tailwind CSS 4, shadcn/ui (Radix).</w:t>
      </w:r>
    </w:p>
    <w:p>
      <w:pPr>
        <w:pStyle w:val="ListBullet"/>
      </w:pPr>
      <w:r>
        <w:rPr>
          <w:b/>
        </w:rPr>
        <w:t>UI-библиотеки:</w:t>
      </w:r>
      <w:r>
        <w:t xml:space="preserve"> — Recharts (графики), Sonner (уведомления), react-hook-form.</w:t>
      </w:r>
    </w:p>
    <w:p>
      <w:pPr>
        <w:pStyle w:val="ListBullet"/>
      </w:pPr>
      <w:r>
        <w:rPr>
          <w:b/>
        </w:rPr>
        <w:t>Backend:</w:t>
      </w:r>
      <w:r>
        <w:t xml:space="preserve"> — на текущем этапе отсутствует; все данные — mockData.ts (демо).</w:t>
      </w:r>
    </w:p>
    <w:p>
      <w:pPr>
        <w:pStyle w:val="ListBullet"/>
      </w:pPr>
      <w:r>
        <w:rPr>
          <w:b/>
        </w:rPr>
        <w:t>Спецификация:</w:t>
      </w:r>
      <w:r>
        <w:t xml:space="preserve"> — docs/dashboard-api-schema.json — контракт API v1.0 для будущего бэкенда.</w:t>
      </w:r>
    </w:p>
    <w:p>
      <w:pPr>
        <w:pStyle w:val="Heading2"/>
      </w:pPr>
      <w:r>
        <w:rPr>
          <w:color w:val="1E293B"/>
        </w:rPr>
        <w:t>Статус проекта</w:t>
      </w:r>
    </w:p>
    <w:p>
      <w:r>
        <w:t>Реализован полноценный UI-прототип (из Figma) с бизнес-логикой на клиенте. Система демонстрирует все ключевые сценарии, но работает на мок-данных без сохранения в БД. Подготовлена схема API и формат JSON-обмена для интеграции с брокером и управлениями.</w:t>
      </w:r>
    </w:p>
    <w:p>
      <w:pPr>
        <w:pStyle w:val="Heading1"/>
      </w:pPr>
      <w:r>
        <w:rPr>
          <w:color w:val="1E293B"/>
        </w:rPr>
        <w:t>2. Роли пользователей и кабинеты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Доступ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center_operator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центра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Дашборд, поступление номеров, распределение, отчёты, админка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district_operator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округа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Бланки, распределение между ОМУ, отчёты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subject_operator (ОМУ)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ОМУ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Бланки, распределение между ВК субъекта, отчёты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subject_operator (ВК с)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ВК субъекта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Бланки, распределение между ВК МО, перемещения, отчёты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vkmo_operator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ВК МО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Бланки, операции, очередь на подписании, отчёты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commissioner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Военный комиссар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Бланки, подписание ЭЦП, отчёты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auditor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Аудитор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Бланки (просмотр), отчёты, админка</w:t>
            </w:r>
          </w:p>
        </w:tc>
      </w:tr>
    </w:tbl>
    <w:p/>
    <w:p>
      <w:pPr>
        <w:pStyle w:val="Heading2"/>
      </w:pPr>
      <w:r>
        <w:rPr>
          <w:color w:val="1E293B"/>
        </w:rPr>
        <w:t>Кабинеты (временный переключатель)</w:t>
      </w:r>
    </w:p>
    <w:p>
      <w:r>
        <w:t>Панель «Кабинет (временно)» позволяет переключаться между типовыми ролями и видеть иерархию parentId: Админ → Оператор округа → Оператор ВК(с) → Оператор ВК(мо) → Военный комиссар.</w:t>
      </w:r>
    </w:p>
    <w:p>
      <w:pPr>
        <w:pStyle w:val="ListBullet"/>
      </w:pPr>
      <w:r>
        <w:t>Меню и домашняя страница меняются в зависимости от роли.</w:t>
      </w:r>
    </w:p>
    <w:p>
      <w:pPr>
        <w:pStyle w:val="ListBullet"/>
      </w:pPr>
      <w:r>
        <w:t>В шапке — переключение пользователя (демо) и отображение остатков бланков.</w:t>
      </w:r>
    </w:p>
    <w:p>
      <w:pPr>
        <w:pStyle w:val="Heading1"/>
      </w:pPr>
      <w:r>
        <w:rPr>
          <w:color w:val="1E293B"/>
        </w:rPr>
        <w:t>3. Навигация и интерфейс</w:t>
      </w:r>
    </w:p>
    <w:p>
      <w:pPr>
        <w:pStyle w:val="Heading2"/>
      </w:pPr>
      <w:r>
        <w:rPr>
          <w:color w:val="1E293B"/>
        </w:rPr>
        <w:t>Шапка (Header)</w:t>
      </w:r>
    </w:p>
    <w:p>
      <w:pPr>
        <w:pStyle w:val="ListBullet"/>
      </w:pPr>
      <w:r>
        <w:t>Логотип «БСО», название «Портал военкоматов».</w:t>
      </w:r>
    </w:p>
    <w:p>
      <w:pPr>
        <w:pStyle w:val="ListBullet"/>
      </w:pPr>
      <w:r>
        <w:t>Остаток бланков по типам (ВБ / Спр. / Уд.) — для операторов.</w:t>
      </w:r>
    </w:p>
    <w:p>
      <w:pPr>
        <w:pStyle w:val="ListBullet"/>
      </w:pPr>
      <w:r>
        <w:t>Колокольчик «На подписании» с счётчиком — для ВК МО и комиссара.</w:t>
      </w:r>
    </w:p>
    <w:p>
      <w:pPr>
        <w:pStyle w:val="ListBullet"/>
      </w:pPr>
      <w:r>
        <w:t>Dropdown профиля: переключение роли (демо), выход.</w:t>
      </w:r>
    </w:p>
    <w:p>
      <w:pPr>
        <w:pStyle w:val="Heading2"/>
      </w:pPr>
      <w:r>
        <w:rPr>
          <w:color w:val="1E293B"/>
        </w:rPr>
        <w:t>Боковое меню (зависит от роли)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Раздел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Маршрут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Кто видит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Дашборд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центра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Бланки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/blanks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Все роли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Поступление номеров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/upload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центра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Распределение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/distribution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Центр, округ, ОМУ, ВК субъекта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Операции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/operations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ВК МО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На подписании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/signatures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ВК МО, комиссар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Перемещения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/transfers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ВК субъекта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Отчёты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/reports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Все, кроме ограниченных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Администрирование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Центр, аудитор</w:t>
            </w:r>
          </w:p>
        </w:tc>
      </w:tr>
    </w:tbl>
    <w:p/>
    <w:p>
      <w:pPr>
        <w:pStyle w:val="Heading1"/>
      </w:pPr>
      <w:r>
        <w:rPr>
          <w:color w:val="1E293B"/>
        </w:rPr>
        <w:t>4. Дашборд</w:t>
      </w:r>
    </w:p>
    <w:p>
      <w:r>
        <w:t>Доступен только оператору центра. Сводная картина по всем бланкам.</w:t>
      </w:r>
    </w:p>
    <w:p>
      <w:pPr>
        <w:pStyle w:val="Heading2"/>
      </w:pPr>
      <w:r>
        <w:rPr>
          <w:color w:val="1E293B"/>
        </w:rPr>
        <w:t>KPI-карточки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В обороте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Доступно для выдачи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Выдано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У граждан на руках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На удержании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Временное хранение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Списано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Выведено из оборота</w:t>
            </w:r>
          </w:p>
        </w:tc>
      </w:tr>
    </w:tbl>
    <w:p/>
    <w:p>
      <w:pPr>
        <w:pStyle w:val="Heading2"/>
      </w:pPr>
      <w:r>
        <w:rPr>
          <w:color w:val="1E293B"/>
        </w:rPr>
        <w:t>График</w:t>
      </w:r>
    </w:p>
    <w:p>
      <w:r>
        <w:t>Линейный график «Операции за последние 7 дней»: выдача, возврат, списание (Recharts).</w:t>
      </w:r>
    </w:p>
    <w:p>
      <w:pPr>
        <w:pStyle w:val="Heading1"/>
      </w:pPr>
      <w:r>
        <w:rPr>
          <w:color w:val="1E293B"/>
        </w:rPr>
        <w:t>5. Бланки (реестр и карточка)</w:t>
      </w:r>
    </w:p>
    <w:p>
      <w:pPr>
        <w:pStyle w:val="Heading2"/>
      </w:pPr>
      <w:r>
        <w:rPr>
          <w:color w:val="1E293B"/>
        </w:rPr>
        <w:t>Реестр бланков</w:t>
      </w:r>
    </w:p>
    <w:p>
      <w:pPr>
        <w:pStyle w:val="ListBullet"/>
      </w:pPr>
      <w:r>
        <w:t>Поиск по номеру бланка (формат АА123456 — две кириллические буквы + 6 цифр).</w:t>
      </w:r>
    </w:p>
    <w:p>
      <w:pPr>
        <w:pStyle w:val="ListBullet"/>
      </w:pPr>
      <w:r>
        <w:t>Фильтры: статус, тип, место нахождения.</w:t>
      </w:r>
    </w:p>
    <w:p>
      <w:pPr>
        <w:pStyle w:val="ListBullet"/>
      </w:pPr>
      <w:r>
        <w:t>Вкладки «Активные» и «Архив» (списанные).</w:t>
      </w:r>
    </w:p>
    <w:p>
      <w:pPr>
        <w:pStyle w:val="ListBullet"/>
      </w:pPr>
      <w:r>
        <w:t>Для оператора ВК МО — только бланки своего ВК; при поиске — просмотр чужих (read-only).</w:t>
      </w:r>
    </w:p>
    <w:p>
      <w:pPr>
        <w:pStyle w:val="Heading2"/>
      </w:pPr>
      <w:r>
        <w:rPr>
          <w:color w:val="1E293B"/>
        </w:rPr>
        <w:t>Типы, статусы, места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Значения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Типы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Военный билет, Справка, Удостоверение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Статусы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 обороте, Выдан, На удержании, Списан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Места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У центра, округа, ОМУ, ВК субъекта, ВК МО, в пути, у получателя, в архиве</w:t>
            </w:r>
          </w:p>
        </w:tc>
      </w:tr>
    </w:tbl>
    <w:p/>
    <w:p>
      <w:pPr>
        <w:pStyle w:val="Heading2"/>
      </w:pPr>
      <w:r>
        <w:rPr>
          <w:color w:val="1E293B"/>
        </w:rPr>
        <w:t>Карточка бланка</w:t>
      </w:r>
    </w:p>
    <w:p>
      <w:pPr>
        <w:pStyle w:val="ListBullet"/>
      </w:pPr>
      <w:r>
        <w:t>Номер, тип, статус, место (бейджи StatusBadge, PlaceBadge).</w:t>
      </w:r>
    </w:p>
    <w:p>
      <w:pPr>
        <w:pStyle w:val="ListBullet"/>
      </w:pPr>
      <w:r>
        <w:t>Точка учёта, владелец (гражданин), даты создания/обновления.</w:t>
      </w:r>
    </w:p>
    <w:p>
      <w:pPr>
        <w:pStyle w:val="ListBullet"/>
      </w:pPr>
      <w:r>
        <w:t>Хронология операций: поступление, перемещение, выдача, замена и др.</w:t>
      </w:r>
    </w:p>
    <w:p>
      <w:pPr>
        <w:pStyle w:val="ListBullet"/>
      </w:pPr>
      <w:r>
        <w:t>Для каждой операции: откуда → куда, причина, оператор, статус подписи, ЭЦП.</w:t>
      </w:r>
    </w:p>
    <w:p>
      <w:pPr>
        <w:pStyle w:val="Heading1"/>
      </w:pPr>
      <w:r>
        <w:rPr>
          <w:color w:val="1E293B"/>
        </w:rPr>
        <w:t>6. Поступление номеров от типографии</w:t>
      </w:r>
    </w:p>
    <w:p>
      <w:r>
        <w:t>4-шаговый мастер для оператора центра.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Шаг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Действие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1. Диапазон номеров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Ввод «номер с» и «номер по»; валидация формата и серии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2. Проверка серии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Автоматический расчёт количества номеров в диапазоне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3. Распределение по типам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Разбивка серии на ВБ / Справки / Удостоверения (сумма = размер серии)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4. Подтверждение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Фиксация поступления (демо)</w:t>
            </w:r>
          </w:p>
        </w:tc>
      </w:tr>
    </w:tbl>
    <w:p/>
    <w:p>
      <w:r>
        <w:t>Логика серий (blankSerialRange.ts): две буквы А–Я (Ё→Е), 6 цифр; диапазон внутри одной буквенной пары; после АА999999 следующая серия — АБ000000.</w:t>
      </w:r>
    </w:p>
    <w:p>
      <w:pPr>
        <w:pStyle w:val="Heading1"/>
      </w:pPr>
      <w:r>
        <w:rPr>
          <w:color w:val="1E293B"/>
        </w:rPr>
        <w:t>7. Распределение по организационной структуре</w:t>
      </w:r>
    </w:p>
    <w:p>
      <w:r>
        <w:t>Каскадное распределение квот бланков по иерархии органов. Модель orgTree: центр → округа → 4 ОМУ → 87 ВК субъекта → ~1500 ВК МО.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Кто распределяет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Куда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Центр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центра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→ Военные округа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Округ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округа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→ ОМУ округа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ОМУ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ОМУ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→ ВК субъекта (постранично, по 12)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ВК субъекта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 ВК(с)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→ ВК МО (постранично, по 20)</w:t>
            </w:r>
          </w:p>
        </w:tc>
      </w:tr>
    </w:tbl>
    <w:p/>
    <w:p>
      <w:pPr>
        <w:pStyle w:val="ListBullet"/>
      </w:pPr>
      <w:r>
        <w:t>Таблица: подразделение × три типа бланков (числовой ввод).</w:t>
      </w:r>
    </w:p>
    <w:p>
      <w:pPr>
        <w:pStyle w:val="ListBullet"/>
      </w:pPr>
      <w:r>
        <w:t>Блок «Поступило от вышестоящего уровня» — демо-квоты.</w:t>
      </w:r>
    </w:p>
    <w:p>
      <w:pPr>
        <w:pStyle w:val="ListBullet"/>
      </w:pPr>
      <w:r>
        <w:t>Сохранение — toast «Распределение сохранено (демо)».</w:t>
      </w:r>
    </w:p>
    <w:p>
      <w:pPr>
        <w:pStyle w:val="Heading1"/>
      </w:pPr>
      <w:r>
        <w:rPr>
          <w:color w:val="1E293B"/>
        </w:rPr>
        <w:t>8. Операции с бланками</w:t>
      </w:r>
    </w:p>
    <w:p>
      <w:r>
        <w:t>Раздел для оператора ВК МО. Пошаговый мастер операций.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230"/>
            <w:shd w:fill="E2E8F0" w:val="clear"/>
          </w:tcPr>
          <w:p>
            <w:r>
              <w:rPr>
                <w:b/>
                <w:sz w:val="20"/>
              </w:rPr>
              <w:t>Подпись комиссара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Выдача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Выдать бланк гражданину из пула (автовыбор мин. номера)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Сдача на хранение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Принять бланк на хранение (камера)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Возврат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Возврат бланка гражданином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Замена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Заменить старый бланк на новый (утеря, повреждение)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Списание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Списать бланк (утеря, брак, истечение срока)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Нет</w:t>
            </w:r>
          </w:p>
        </w:tc>
      </w:tr>
    </w:tbl>
    <w:p/>
    <w:p>
      <w:pPr>
        <w:pStyle w:val="Heading2"/>
      </w:pPr>
      <w:r>
        <w:rPr>
          <w:color w:val="1E293B"/>
        </w:rPr>
        <w:t>Сценарий выдачи</w:t>
      </w:r>
    </w:p>
    <w:p>
      <w:pPr>
        <w:pStyle w:val="ListBullet"/>
      </w:pPr>
      <w:r>
        <w:t>Шаг 1: выбор типа бланка → показ остатков по типам.</w:t>
      </w:r>
    </w:p>
    <w:p>
      <w:pPr>
        <w:pStyle w:val="ListBullet"/>
      </w:pPr>
      <w:r>
        <w:t>Шаг 2: выбор причины (призыв, мобилизация, поступление на службу и др.).</w:t>
      </w:r>
    </w:p>
    <w:p>
      <w:pPr>
        <w:pStyle w:val="ListBullet"/>
      </w:pPr>
      <w:r>
        <w:t>Шаг 3: поиск гражданина по ФИО/ID (mockCitizens).</w:t>
      </w:r>
    </w:p>
    <w:p>
      <w:pPr>
        <w:pStyle w:val="ListBullet"/>
      </w:pPr>
      <w:r>
        <w:t>Шаг 4: подтверждение — операция уходит «На подписании».</w:t>
      </w:r>
    </w:p>
    <w:p>
      <w:pPr>
        <w:pStyle w:val="Heading2"/>
      </w:pPr>
      <w:r>
        <w:rPr>
          <w:color w:val="1E293B"/>
        </w:rPr>
        <w:t>Причины операций</w:t>
      </w:r>
    </w:p>
    <w:p>
      <w:r>
        <w:t>Справочник причин по типу операции: поступление, перемещение, выдача, хранение, возврат, замена, списание — настраиваемый список в mockData.</w:t>
      </w:r>
    </w:p>
    <w:p>
      <w:pPr>
        <w:pStyle w:val="Heading1"/>
      </w:pPr>
      <w:r>
        <w:rPr>
          <w:color w:val="1E293B"/>
        </w:rPr>
        <w:t>9. На подписании (ЭЦП комиссара)</w:t>
      </w:r>
    </w:p>
    <w:p>
      <w:r>
        <w:t>Очередь операций, требующих подписи военного комиссара: выдача, замена, сдача на хранение.</w:t>
      </w:r>
    </w:p>
    <w:p>
      <w:pPr>
        <w:pStyle w:val="ListBullet"/>
      </w:pPr>
      <w:r>
        <w:t>Таблица: когда, операция, бланк, гражданин.</w:t>
      </w:r>
    </w:p>
    <w:p>
      <w:pPr>
        <w:pStyle w:val="ListBullet"/>
      </w:pPr>
      <w:r>
        <w:t>Клик по строке → модальное окно с деталями (откуда/куда, комментарий оператора).</w:t>
      </w:r>
    </w:p>
    <w:p>
      <w:pPr>
        <w:pStyle w:val="ListBullet"/>
      </w:pPr>
      <w:r>
        <w:t>Комиссар подписывает ЭЦП (демо); оператор ВК МО видит очередь, но не подписывает.</w:t>
      </w:r>
    </w:p>
    <w:p>
      <w:pPr>
        <w:pStyle w:val="ListBullet"/>
      </w:pPr>
      <w:r>
        <w:t>Ссылка на карточку бланка из очереди.</w:t>
      </w:r>
    </w:p>
    <w:p>
      <w:pPr>
        <w:pStyle w:val="ListBullet"/>
      </w:pPr>
      <w:r>
        <w:t>Счётчик в шапке ведёт на этот раздел.</w:t>
      </w:r>
    </w:p>
    <w:p>
      <w:pPr>
        <w:pStyle w:val="Heading1"/>
      </w:pPr>
      <w:r>
        <w:rPr>
          <w:color w:val="1E293B"/>
        </w:rPr>
        <w:t>10. Перемещения между организациями</w:t>
      </w:r>
    </w:p>
    <w:p>
      <w:r>
        <w:t>Доступно оператору ВК субъекта.</w:t>
      </w:r>
    </w:p>
    <w:p>
      <w:pPr>
        <w:pStyle w:val="ListBullet"/>
      </w:pPr>
      <w:r>
        <w:t>Выбор получателя (муниципальный ВК).</w:t>
      </w:r>
    </w:p>
    <w:p>
      <w:pPr>
        <w:pStyle w:val="ListBullet"/>
      </w:pPr>
      <w:r>
        <w:t>Диапазон номеров «от — до».</w:t>
      </w:r>
    </w:p>
    <w:p>
      <w:pPr>
        <w:pStyle w:val="ListBullet"/>
      </w:pPr>
      <w:r>
        <w:t>Счётчик доступных для передачи бланков.</w:t>
      </w:r>
    </w:p>
    <w:p>
      <w:pPr>
        <w:pStyle w:val="ListBullet"/>
      </w:pPr>
      <w:r>
        <w:t>История последних перемещений (демо-данные).</w:t>
      </w:r>
    </w:p>
    <w:p>
      <w:r>
        <w:t>Статус: UI готов, сохранение — toast без бэкенда.</w:t>
      </w:r>
    </w:p>
    <w:p>
      <w:pPr>
        <w:pStyle w:val="Heading1"/>
      </w:pPr>
      <w:r>
        <w:rPr>
          <w:color w:val="1E293B"/>
        </w:rPr>
        <w:t>11. Отчёты</w:t>
      </w:r>
    </w:p>
    <w:p>
      <w:pPr>
        <w:pStyle w:val="ListBullet"/>
      </w:pPr>
      <w:r>
        <w:t>Типы: движение бланков, выданные, остатки, история операций, статистика по статусам.</w:t>
      </w:r>
    </w:p>
    <w:p>
      <w:pPr>
        <w:pStyle w:val="ListBullet"/>
      </w:pPr>
      <w:r>
        <w:t>Период (дата с — по), уровень (центр / округа / субъекты / ВК МО).</w:t>
      </w:r>
    </w:p>
    <w:p>
      <w:pPr>
        <w:pStyle w:val="ListBullet"/>
      </w:pPr>
      <w:r>
        <w:t>Кнопки «Сформировать» и «Экспорт в Excel».</w:t>
      </w:r>
    </w:p>
    <w:p>
      <w:pPr>
        <w:pStyle w:val="ListBullet"/>
      </w:pPr>
      <w:r>
        <w:t>Область предпросмотра — заглушка до формирования.</w:t>
      </w:r>
    </w:p>
    <w:p>
      <w:r>
        <w:t>Статус: форма параметров готова; генерация и экспорт — демо (toast).</w:t>
      </w:r>
    </w:p>
    <w:p>
      <w:pPr>
        <w:pStyle w:val="Heading1"/>
      </w:pPr>
      <w:r>
        <w:rPr>
          <w:color w:val="1E293B"/>
        </w:rPr>
        <w:t>12. Администрирование</w:t>
      </w:r>
    </w:p>
    <w:p>
      <w:r>
        <w:t>Доступ: оператор центра, аудитор.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Пользователи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Карточка-заглушка (управление пользователями и ролями)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Организации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Карточка-заглушка (структура военкоматов)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Настройки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Карточка-заглушка (конфигурация системы)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Статистика системы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Демо-цифры: 127 пользователей, 45 ВК, 12 534 бланка, 1 248 операций/мес</w:t>
            </w:r>
          </w:p>
        </w:tc>
      </w:tr>
    </w:tbl>
    <w:p/>
    <w:p>
      <w:pPr>
        <w:pStyle w:val="Heading1"/>
      </w:pPr>
      <w:r>
        <w:rPr>
          <w:color w:val="1E293B"/>
        </w:rPr>
        <w:t>13. Модель данных и контракт API</w:t>
      </w:r>
    </w:p>
    <w:p>
      <w:r>
        <w:t>Файл docs/dashboard-api-schema.json описывает целевую модель для бэкенда (v1.0.0).</w:t>
      </w:r>
    </w:p>
    <w:p>
      <w:pPr>
        <w:pStyle w:val="Heading2"/>
      </w:pPr>
      <w:r>
        <w:rPr>
          <w:color w:val="1E293B"/>
        </w:rPr>
        <w:t>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Сущность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org_unit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Иерархия органов (center → district → omu → vk_subject → vk_mo)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Пользователь с ролью и привязкой к org_unit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citizen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Гражданин — получатель бланка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blank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Бланк: номер, тип, статус, место, владелец, vkmo_id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operation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Операция с бланком: тип, причина, статус, ЭЦП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blank_series_receipt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Поступление диапазона номеров от типографии</w:t>
            </w:r>
          </w:p>
        </w:tc>
      </w:tr>
    </w:tbl>
    <w:p/>
    <w:p>
      <w:pPr>
        <w:pStyle w:val="Heading2"/>
      </w:pPr>
      <w:r>
        <w:rPr>
          <w:color w:val="1E293B"/>
        </w:rPr>
        <w:t>Ключевые API-эндпоинты (план)</w:t>
      </w:r>
    </w:p>
    <w:p>
      <w:pPr>
        <w:pStyle w:val="ListBullet"/>
      </w:pPr>
      <w:r>
        <w:t>GET /dashboard/summary — сводка по статусам и типам.</w:t>
      </w:r>
    </w:p>
    <w:p>
      <w:pPr>
        <w:pStyle w:val="ListBullet"/>
      </w:pPr>
      <w:r>
        <w:t>GET /blanks — реестр с фильтрами.</w:t>
      </w:r>
    </w:p>
    <w:p>
      <w:pPr>
        <w:pStyle w:val="ListBullet"/>
      </w:pPr>
      <w:r>
        <w:t>GET /blanks/{id} — карточка + история операций.</w:t>
      </w:r>
    </w:p>
    <w:p>
      <w:pPr>
        <w:pStyle w:val="ListBullet"/>
      </w:pPr>
      <w:r>
        <w:t>POST /operations — создание операции.</w:t>
      </w:r>
    </w:p>
    <w:p>
      <w:pPr>
        <w:pStyle w:val="ListBullet"/>
      </w:pPr>
      <w:r>
        <w:t>POST /operations/{id}/sign — подпись комиссара.</w:t>
      </w:r>
    </w:p>
    <w:p>
      <w:pPr>
        <w:pStyle w:val="ListBullet"/>
      </w:pPr>
      <w:r>
        <w:t>POST /blank-series-receipts — поступление серии.</w:t>
      </w:r>
    </w:p>
    <w:p>
      <w:pPr>
        <w:pStyle w:val="ListBullet"/>
      </w:pPr>
      <w:r>
        <w:t>POST /distributions — распределение по дочерним org_unit.</w:t>
      </w:r>
    </w:p>
    <w:p>
      <w:pPr>
        <w:pStyle w:val="Heading1"/>
      </w:pPr>
      <w:r>
        <w:rPr>
          <w:color w:val="1E293B"/>
        </w:rPr>
        <w:t>14. Формат обмена данными (JSON)</w:t>
      </w:r>
    </w:p>
    <w:p>
      <w:r>
        <w:t>Документ «README copy.md» описывает формат файлов обмена с брокером (v1.0, UTF-8, *.json).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Дата создания файла (ISO)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actual_at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Дата актуальности данных (ISO)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Версия формата, напр. «1.0»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Код управления: upr-1 … upr-5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Массив данных</w:t>
            </w:r>
          </w:p>
        </w:tc>
      </w:tr>
    </w:tbl>
    <w:p/>
    <w:p>
      <w:pPr>
        <w:pStyle w:val="ListBullet"/>
      </w:pPr>
      <w:r>
        <w:t>Атрибуты (atr) — структуры данных с типами: num, object, array.</w:t>
      </w:r>
    </w:p>
    <w:p>
      <w:pPr>
        <w:pStyle w:val="ListBullet"/>
      </w:pPr>
      <w:r>
        <w:t>Поля (key / key_ru) — колонки атрибутов с переводом.</w:t>
      </w:r>
    </w:p>
    <w:p>
      <w:pPr>
        <w:pStyle w:val="ListBullet"/>
      </w:pPr>
      <w:r>
        <w:t>object_code, parent_object_code — иерархия для массивов.</w:t>
      </w:r>
    </w:p>
    <w:p>
      <w:pPr>
        <w:pStyle w:val="ListBullet"/>
      </w:pPr>
      <w:r>
        <w:t>Файл можно делить на части; не все атрибуты обязательны в одной отправке.</w:t>
      </w:r>
    </w:p>
    <w:p>
      <w:pPr>
        <w:pStyle w:val="ListBullet"/>
      </w:pPr>
      <w:r>
        <w:t>@todo: отправка на брокер — не реализована.</w:t>
      </w:r>
    </w:p>
    <w:p>
      <w:pPr>
        <w:pStyle w:val="Heading1"/>
      </w:pPr>
      <w:r>
        <w:rPr>
          <w:color w:val="1E293B"/>
        </w:rPr>
        <w:t>15. Заглушки и ограничения прототипа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Backend / БД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Отсутствует — все данные в mockData.ts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Авторизация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Переключение роли в UI, без login/password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ЭЦП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Демо-toast «Операция подписана ЭЦП»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Отчёты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Форма есть, генерация — toast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Перемещения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Форма есть, сохранение — toast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Распределение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Ввод есть, сохранение — toast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Админка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Три карточки-заглушки без функционала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Поиск граждан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7 демо-записей mockCitizens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Кабинеты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Помечены «(временно)»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Выход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Кнопка без логики</w:t>
            </w:r>
          </w:p>
        </w:tc>
      </w:tr>
    </w:tbl>
    <w:p/>
    <w:p>
      <w:pPr>
        <w:pStyle w:val="Heading1"/>
      </w:pPr>
      <w:r>
        <w:rPr>
          <w:color w:val="1E293B"/>
        </w:rPr>
        <w:t>16. Проблемные вопросы и задачи на следующий период</w:t>
      </w:r>
    </w:p>
    <w:p>
      <w:pPr>
        <w:pStyle w:val="Heading2"/>
      </w:pPr>
      <w:r>
        <w:rPr>
          <w:color w:val="1E293B"/>
        </w:rPr>
        <w:t>Backend и 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Задача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Нет бэкенда и БД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Разработать API по dashboard-api-schema.json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Нет авторизации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Вход через домен/AD; RBAC по ролям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Нет персистентности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PostgreSQL: blanks, operations, org_units, users, citizens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Нет деплоя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Docker, CI/CD, staging/prod</w:t>
            </w:r>
          </w:p>
        </w:tc>
      </w:tr>
    </w:tbl>
    <w:p/>
    <w:p>
      <w:pPr>
        <w:pStyle w:val="Heading2"/>
      </w:pPr>
      <w:r>
        <w:rPr>
          <w:color w:val="1E293B"/>
        </w:rPr>
        <w:t>Бизнес-логика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Задача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Операции не меняют mockBlanks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Транзакционное обновление статусов бланков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ЭЦП — демо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Интеграция с криптопровайдером / УКЭП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Серии номеров — только расчёт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Создание записей blank + blank_series_receipt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Распределение — локальный state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API распределения с проверкой квот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Перемещения — статичная история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Журнал transfer с подтверждением получателем</w:t>
            </w:r>
          </w:p>
        </w:tc>
      </w:tr>
    </w:tbl>
    <w:p/>
    <w:p>
      <w:pPr>
        <w:pStyle w:val="Heading2"/>
      </w:pPr>
      <w:r>
        <w:rPr>
          <w:color w:val="1E293B"/>
        </w:rPr>
        <w:t>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Задача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JSON-обмен с брокером — @todo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Реализовать отправку/приём по спецификации v1.0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Нет связи с реестром граждан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Интеграция с ЕРН / внутренним справочником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upr-4_chaes.json — пример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Согласовать атрибуты с управлениями (upr-1…5)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Оргструктура — демо 1 округ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Загрузка реальной иерархии военкоматов</w:t>
            </w:r>
          </w:p>
        </w:tc>
      </w:tr>
    </w:tbl>
    <w:p/>
    <w:p>
      <w:pPr>
        <w:pStyle w:val="Heading2"/>
      </w:pPr>
      <w:r>
        <w:rPr>
          <w:color w:val="1E293B"/>
        </w:rPr>
        <w:t>UI/UX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4844"/>
            <w:shd w:fill="E2E8F0" w:val="clear"/>
          </w:tcPr>
          <w:p>
            <w:r>
              <w:rPr>
                <w:b/>
                <w:sz w:val="20"/>
              </w:rPr>
              <w:t>Задача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Отчёты — заглушка просмотра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Генерация таблиц + экспорт Excel/PDF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Админка — карточки без действий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CRUD пользователей, org_units, справочников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Нет аудит-лога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Журнал действий пользователей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Пагинация только в распределении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Пагинация реестра бланков (1500+ ВК МО)</w:t>
            </w:r>
          </w:p>
        </w:tc>
      </w:tr>
    </w:tbl>
    <w:p/>
    <w:p>
      <w:pPr>
        <w:pStyle w:val="Heading1"/>
      </w:pPr>
      <w:r>
        <w:rPr>
          <w:color w:val="1E293B"/>
        </w:rPr>
        <w:t>17. Краткое резюме</w:t>
      </w:r>
    </w:p>
    <w:p>
      <w:r>
        <w:t>В отчётном периоде разработан UI-прототип системы учёта бланков строгой отчётности (БСО) — «Портал военкоматов». Реализованы ключевые экраны: реестр и карточка бланков, поступление серий номеров, каскадное распределение по org-структуре, операции (выдача, замена, списание), очередь подписания ЭЦП, перемещения, отчёты, дашборд. Подготовлены контракт API и формат JSON-обмена с брокером. Система работает на мок-данных и демонстрирует полный пользовательский путь для 7 ролей.</w:t>
      </w:r>
    </w:p>
    <w:p>
      <w:r>
        <w:t>На следующий период приоритеты: бэкенд и БД, авторизация, реальная ЭЦП, персистентные операции, интеграция с брокером и справочником граждан, наполнение org-структуры, генерация отчётов и доведение админки до рабочего состояния.</w:t>
      </w:r>
    </w:p>
    <w:p>
      <w:pPr>
        <w:pStyle w:val="Heading2"/>
      </w:pPr>
      <w:r>
        <w:rPr>
          <w:color w:val="1E293B"/>
        </w:rPr>
        <w:t>Рекомендуемые скриншоты для презентации</w:t>
      </w:r>
    </w:p>
    <w:p>
      <w:pPr>
        <w:pStyle w:val="ListBullet"/>
      </w:pPr>
      <w:r>
        <w:t>Дашборд с KPI и графиком операций.</w:t>
      </w:r>
    </w:p>
    <w:p>
      <w:pPr>
        <w:pStyle w:val="ListBullet"/>
      </w:pPr>
      <w:r>
        <w:t>Реестр бланков с фильтрами и вкладками Активные/Архив.</w:t>
      </w:r>
    </w:p>
    <w:p>
      <w:pPr>
        <w:pStyle w:val="ListBullet"/>
      </w:pPr>
      <w:r>
        <w:t>Карточка бланка с хронологией операций.</w:t>
      </w:r>
    </w:p>
    <w:p>
      <w:pPr>
        <w:pStyle w:val="ListBullet"/>
      </w:pPr>
      <w:r>
        <w:t>Мастер «Поступление номеров» (4 шага).</w:t>
      </w:r>
    </w:p>
    <w:p>
      <w:pPr>
        <w:pStyle w:val="ListBullet"/>
      </w:pPr>
      <w:r>
        <w:t>Распределение: таблица округ → ОМУ → ВК.</w:t>
      </w:r>
    </w:p>
    <w:p>
      <w:pPr>
        <w:pStyle w:val="ListBullet"/>
      </w:pPr>
      <w:r>
        <w:t>Операции: мастер выдачи бланка гражданину.</w:t>
      </w:r>
    </w:p>
    <w:p>
      <w:pPr>
        <w:pStyle w:val="ListBullet"/>
      </w:pPr>
      <w:r>
        <w:t>«На подписании» — очередь и модалка ЭЦП.</w:t>
      </w:r>
    </w:p>
    <w:p>
      <w:pPr>
        <w:pStyle w:val="ListBullet"/>
      </w:pPr>
      <w:r>
        <w:t>Переключатель кабинетов и меню для разных ролей.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