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60" w:line="264" w:lineRule="auto"/>
      </w:pPr>
      <w:r>
        <w:rPr>
          <w:rFonts w:ascii="Calibri" w:hAnsi="Calibri"/>
          <w:b/>
          <w:i w:val="0"/>
          <w:color w:val="1F4D78"/>
          <w:sz w:val="50"/>
        </w:rPr>
        <w:t>BimaHeadquarter CRM</w:t>
      </w:r>
    </w:p>
    <w:p>
      <w:pPr>
        <w:spacing w:before="0" w:after="360" w:line="264" w:lineRule="auto"/>
      </w:pPr>
      <w:r>
        <w:rPr>
          <w:rFonts w:ascii="Calibri" w:hAnsi="Calibri"/>
          <w:b w:val="0"/>
          <w:i w:val="0"/>
          <w:color w:val="5C6670"/>
          <w:sz w:val="30"/>
        </w:rPr>
        <w:t>Business &amp; Product Report</w:t>
      </w:r>
    </w:p>
    <w:p>
      <w:pPr>
        <w:spacing w:before="0" w:after="40" w:line="264" w:lineRule="auto"/>
      </w:pPr>
      <w:r>
        <w:rPr>
          <w:rFonts w:ascii="Calibri" w:hAnsi="Calibri"/>
          <w:b/>
          <w:i w:val="0"/>
          <w:color w:val="19232D"/>
          <w:sz w:val="21"/>
        </w:rPr>
        <w:t>Prepared for business partners, clients, investors, and insurance professionals</w:t>
      </w:r>
    </w:p>
    <w:p>
      <w:pPr>
        <w:spacing w:before="0" w:after="360" w:line="264" w:lineRule="auto"/>
      </w:pPr>
      <w:r>
        <w:rPr>
          <w:rFonts w:ascii="Calibri" w:hAnsi="Calibri"/>
          <w:b w:val="0"/>
          <w:i w:val="0"/>
          <w:color w:val="5C6670"/>
          <w:sz w:val="21"/>
        </w:rPr>
        <w:t>Developed by InsureDesk IMF Pvt. Ltd.</w:t>
      </w:r>
    </w:p>
    <w:tbl>
      <w:tblPr>
        <w:tblW w:type="dxa" w:w="9360"/>
        <w:jc w:val="left"/>
        <w:tblLayout w:type="fixed"/>
        <w:tblLook w:firstColumn="1" w:firstRow="1" w:lastColumn="0" w:lastRow="0" w:noHBand="0" w:noVBand="1" w:val="04A0"/>
        <w:tblInd w:type="dxa" w:w="120"/>
        <w:tblBorders>
          <w:top w:val="single" w:sz="8" w:space="0" w:color="C9D3E1"/>
          <w:left w:val="single" w:sz="8" w:space="0" w:color="C9D3E1"/>
          <w:bottom w:val="single" w:sz="8" w:space="0" w:color="C9D3E1"/>
          <w:right w:val="single" w:sz="8" w:space="0" w:color="C9D3E1"/>
          <w:insideH w:val="single" w:sz="8" w:space="0" w:color="C9D3E1"/>
          <w:insideV w:val="single" w:sz="8" w:space="0" w:color="C9D3E1"/>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0"/>
            </w:pPr>
            <w:r>
              <w:rPr>
                <w:rFonts w:ascii="Calibri" w:hAnsi="Calibri"/>
                <w:b/>
                <w:color w:val="1F4D78"/>
                <w:sz w:val="21"/>
              </w:rPr>
              <w:t xml:space="preserve">Positioning: </w:t>
            </w:r>
            <w:r>
              <w:rPr>
                <w:rFonts w:ascii="Calibri" w:hAnsi="Calibri"/>
                <w:color w:val="19232D"/>
                <w:sz w:val="21"/>
              </w:rPr>
              <w:t>A cloud-based Insurance CRM that centralizes customers, policies, renewals, claims, endorsements, reporting, automation, and intelligent PDF processing for insurance businesses in India.</w:t>
            </w:r>
          </w:p>
        </w:tc>
      </w:tr>
    </w:tbl>
    <w:p>
      <w:pPr>
        <w:spacing w:after="80"/>
      </w:pPr>
    </w:p>
    <w:p>
      <w:pPr>
        <w:spacing w:before="0" w:after="480" w:line="264" w:lineRule="auto"/>
      </w:pPr>
      <w:r>
        <w:rPr>
          <w:rFonts w:ascii="Calibri" w:hAnsi="Calibri"/>
          <w:b w:val="0"/>
          <w:i w:val="0"/>
          <w:color w:val="5C6670"/>
          <w:sz w:val="19"/>
        </w:rPr>
        <w:t>Website: www.bimaheadquarter.com | Email: info@bimaheadquarter.com | Phone: +91 8818889660</w:t>
      </w:r>
    </w:p>
    <w:p>
      <w:r>
        <w:br w:type="page"/>
      </w:r>
    </w:p>
    <w:p>
      <w:pPr>
        <w:pStyle w:val="Heading1"/>
        <w:keepNext/>
      </w:pPr>
      <w:r>
        <w:rPr>
          <w:rFonts w:ascii="Calibri" w:hAnsi="Calibri"/>
          <w:b/>
          <w:color w:val="2E74B5"/>
          <w:sz w:val="32"/>
        </w:rPr>
        <w:t>Executive Summary</w:t>
      </w:r>
    </w:p>
    <w:p>
      <w:pPr>
        <w:spacing w:before="0" w:after="120" w:line="264" w:lineRule="auto"/>
      </w:pPr>
      <w:r>
        <w:rPr>
          <w:rFonts w:ascii="Calibri" w:hAnsi="Calibri"/>
          <w:b w:val="0"/>
          <w:i w:val="0"/>
          <w:color w:val="19232D"/>
          <w:sz w:val="22"/>
        </w:rPr>
        <w:t>BimaHeadquarter is a comprehensive cloud-based Insurance Customer Relationship Management platform designed to digitize and streamline insurance operations for agencies, brokers, POSPs, insurance consultants, and enterprises across India.</w:t>
      </w:r>
    </w:p>
    <w:p>
      <w:pPr>
        <w:spacing w:before="0" w:after="120" w:line="264" w:lineRule="auto"/>
      </w:pPr>
      <w:r>
        <w:rPr>
          <w:rFonts w:ascii="Calibri" w:hAnsi="Calibri"/>
          <w:b w:val="0"/>
          <w:i w:val="0"/>
          <w:color w:val="19232D"/>
          <w:sz w:val="22"/>
        </w:rPr>
        <w:t>The platform centralizes the full insurance lifecycle from customer acquisition and policy administration to renewals, claims, endorsements, reporting, and automation. By replacing fragmented spreadsheets and manual processes, it helps organizations improve operational efficiency, strengthen customer service, and support sustainable business growth.</w:t>
      </w:r>
    </w:p>
    <w:p>
      <w:pPr>
        <w:pStyle w:val="Heading1"/>
        <w:keepNext/>
      </w:pPr>
      <w:r>
        <w:rPr>
          <w:rFonts w:ascii="Calibri" w:hAnsi="Calibri"/>
          <w:b/>
          <w:color w:val="2E74B5"/>
          <w:sz w:val="32"/>
        </w:rPr>
        <w:t>Vision and Mission</w:t>
      </w:r>
    </w:p>
    <w:p>
      <w:pPr>
        <w:spacing w:before="0" w:after="60" w:line="264" w:lineRule="auto"/>
      </w:pPr>
      <w:r>
        <w:rPr>
          <w:rFonts w:ascii="Calibri" w:hAnsi="Calibri"/>
          <w:b/>
          <w:i w:val="0"/>
          <w:color w:val="1F4D78"/>
          <w:sz w:val="23"/>
        </w:rPr>
        <w:t>Vision</w:t>
      </w:r>
    </w:p>
    <w:p>
      <w:pPr>
        <w:spacing w:before="0" w:after="120" w:line="264" w:lineRule="auto"/>
      </w:pPr>
      <w:r>
        <w:rPr>
          <w:rFonts w:ascii="Calibri" w:hAnsi="Calibri"/>
          <w:b w:val="0"/>
          <w:i w:val="0"/>
          <w:color w:val="19232D"/>
          <w:sz w:val="22"/>
        </w:rPr>
        <w:t>To become India's most trusted digital operating system for insurance businesses by simplifying every aspect of insurance management through technology and automation.</w:t>
      </w:r>
    </w:p>
    <w:p>
      <w:pPr>
        <w:spacing w:before="0" w:after="60" w:line="264" w:lineRule="auto"/>
      </w:pPr>
      <w:r>
        <w:rPr>
          <w:rFonts w:ascii="Calibri" w:hAnsi="Calibri"/>
          <w:b/>
          <w:i w:val="0"/>
          <w:color w:val="1F4D78"/>
          <w:sz w:val="23"/>
        </w:rPr>
        <w:t>Mission</w:t>
      </w:r>
    </w:p>
    <w:p>
      <w:pPr>
        <w:pStyle w:val="ListBullet"/>
        <w:spacing w:after="80" w:line="280" w:lineRule="auto"/>
      </w:pPr>
      <w:r>
        <w:rPr>
          <w:rFonts w:ascii="Calibri" w:hAnsi="Calibri"/>
          <w:color w:val="19232D"/>
          <w:sz w:val="21"/>
        </w:rPr>
        <w:t>Digitize insurance operations and reduce manual workload.</w:t>
      </w:r>
    </w:p>
    <w:p>
      <w:pPr>
        <w:pStyle w:val="ListBullet"/>
        <w:spacing w:after="80" w:line="280" w:lineRule="auto"/>
      </w:pPr>
      <w:r>
        <w:rPr>
          <w:rFonts w:ascii="Calibri" w:hAnsi="Calibri"/>
          <w:color w:val="19232D"/>
          <w:sz w:val="21"/>
        </w:rPr>
        <w:t>Improve customer experience and renewal retention.</w:t>
      </w:r>
    </w:p>
    <w:p>
      <w:pPr>
        <w:pStyle w:val="ListBullet"/>
        <w:spacing w:after="80" w:line="280" w:lineRule="auto"/>
      </w:pPr>
      <w:r>
        <w:rPr>
          <w:rFonts w:ascii="Calibri" w:hAnsi="Calibri"/>
          <w:color w:val="19232D"/>
          <w:sz w:val="21"/>
        </w:rPr>
        <w:t>Simplify claim assistance and customer follow-up.</w:t>
      </w:r>
    </w:p>
    <w:p>
      <w:pPr>
        <w:pStyle w:val="ListBullet"/>
        <w:spacing w:after="80" w:line="280" w:lineRule="auto"/>
      </w:pPr>
      <w:r>
        <w:rPr>
          <w:rFonts w:ascii="Calibri" w:hAnsi="Calibri"/>
          <w:color w:val="19232D"/>
          <w:sz w:val="21"/>
        </w:rPr>
        <w:t>Empower insurance professionals with intelligent technology.</w:t>
      </w:r>
    </w:p>
    <w:p>
      <w:pPr>
        <w:pStyle w:val="Heading1"/>
        <w:keepNext/>
      </w:pPr>
      <w:r>
        <w:rPr>
          <w:rFonts w:ascii="Calibri" w:hAnsi="Calibri"/>
          <w:b/>
          <w:color w:val="2E74B5"/>
          <w:sz w:val="32"/>
        </w:rPr>
        <w:t>Industry Challenges</w:t>
      </w:r>
    </w:p>
    <w:p>
      <w:pPr>
        <w:spacing w:before="0" w:after="120" w:line="264" w:lineRule="auto"/>
      </w:pPr>
      <w:r>
        <w:rPr>
          <w:rFonts w:ascii="Calibri" w:hAnsi="Calibri"/>
          <w:b w:val="0"/>
          <w:i w:val="0"/>
          <w:color w:val="19232D"/>
          <w:sz w:val="22"/>
        </w:rPr>
        <w:t>Many insurance businesses still depend on traditional processes that create avoidable operational friction.</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300"/>
        <w:gridCol w:w="3900"/>
        <w:gridCol w:w="3160"/>
      </w:tblGrid>
      <w:tr>
        <w:trPr>
          <w:tblHeader w:val="true"/>
        </w:trPr>
        <w:tc>
          <w:tcPr>
            <w:tcW w:type="dxa" w:w="2300"/>
            <w:tcMar>
              <w:top w:w="80" w:type="dxa"/>
              <w:start w:w="120" w:type="dxa"/>
              <w:bottom w:w="80" w:type="dxa"/>
              <w:end w:w="120" w:type="dxa"/>
            </w:tcMar>
            <w:vAlign w:val="center"/>
            <w:shd w:fill="F2F4F7"/>
          </w:tcPr>
          <w:p>
            <w:pPr>
              <w:spacing w:after="0"/>
            </w:pPr>
            <w:r>
              <w:rPr>
                <w:rFonts w:ascii="Calibri" w:hAnsi="Calibri"/>
                <w:b/>
                <w:color w:val="1F4D78"/>
                <w:sz w:val="20"/>
              </w:rPr>
              <w:t>Challenge Area</w:t>
            </w:r>
          </w:p>
        </w:tc>
        <w:tc>
          <w:tcPr>
            <w:tcW w:type="dxa" w:w="3900"/>
            <w:tcMar>
              <w:top w:w="80" w:type="dxa"/>
              <w:start w:w="120" w:type="dxa"/>
              <w:bottom w:w="80" w:type="dxa"/>
              <w:end w:w="120" w:type="dxa"/>
            </w:tcMar>
            <w:vAlign w:val="center"/>
            <w:shd w:fill="F2F4F7"/>
          </w:tcPr>
          <w:p>
            <w:pPr>
              <w:spacing w:after="0"/>
            </w:pPr>
            <w:r>
              <w:rPr>
                <w:rFonts w:ascii="Calibri" w:hAnsi="Calibri"/>
                <w:b/>
                <w:color w:val="1F4D78"/>
                <w:sz w:val="20"/>
              </w:rPr>
              <w:t>Typical Issue</w:t>
            </w:r>
          </w:p>
        </w:tc>
        <w:tc>
          <w:tcPr>
            <w:tcW w:type="dxa" w:w="3160"/>
            <w:tcMar>
              <w:top w:w="80" w:type="dxa"/>
              <w:start w:w="120" w:type="dxa"/>
              <w:bottom w:w="80" w:type="dxa"/>
              <w:end w:w="120" w:type="dxa"/>
            </w:tcMar>
            <w:vAlign w:val="center"/>
            <w:shd w:fill="F2F4F7"/>
          </w:tcPr>
          <w:p>
            <w:pPr>
              <w:spacing w:after="0"/>
            </w:pPr>
            <w:r>
              <w:rPr>
                <w:rFonts w:ascii="Calibri" w:hAnsi="Calibri"/>
                <w:b/>
                <w:color w:val="1F4D78"/>
                <w:sz w:val="20"/>
              </w:rPr>
              <w:t>Business Impact</w:t>
            </w:r>
          </w:p>
        </w:tc>
      </w:tr>
      <w:tr>
        <w:tc>
          <w:tcPr>
            <w:tcW w:type="dxa" w:w="2300"/>
            <w:tcMar>
              <w:top w:w="80" w:type="dxa"/>
              <w:start w:w="120" w:type="dxa"/>
              <w:bottom w:w="80" w:type="dxa"/>
              <w:end w:w="120" w:type="dxa"/>
            </w:tcMar>
            <w:vAlign w:val="center"/>
          </w:tcPr>
          <w:p>
            <w:pPr>
              <w:spacing w:after="0"/>
            </w:pPr>
            <w:r>
              <w:rPr>
                <w:rFonts w:ascii="Calibri" w:hAnsi="Calibri"/>
                <w:color w:val="19232D"/>
                <w:sz w:val="19"/>
              </w:rPr>
              <w:t>Policy operations</w:t>
            </w:r>
          </w:p>
        </w:tc>
        <w:tc>
          <w:tcPr>
            <w:tcW w:type="dxa" w:w="3900"/>
            <w:tcMar>
              <w:top w:w="80" w:type="dxa"/>
              <w:start w:w="120" w:type="dxa"/>
              <w:bottom w:w="80" w:type="dxa"/>
              <w:end w:w="120" w:type="dxa"/>
            </w:tcMar>
            <w:vAlign w:val="center"/>
          </w:tcPr>
          <w:p>
            <w:pPr>
              <w:spacing w:after="0"/>
            </w:pPr>
            <w:r>
              <w:rPr>
                <w:rFonts w:ascii="Calibri" w:hAnsi="Calibri"/>
                <w:color w:val="19232D"/>
                <w:sz w:val="19"/>
              </w:rPr>
              <w:t>Manual tracking, Excel records, and paper-heavy documentation</w:t>
            </w:r>
          </w:p>
        </w:tc>
        <w:tc>
          <w:tcPr>
            <w:tcW w:type="dxa" w:w="3160"/>
            <w:tcMar>
              <w:top w:w="80" w:type="dxa"/>
              <w:start w:w="120" w:type="dxa"/>
              <w:bottom w:w="80" w:type="dxa"/>
              <w:end w:w="120" w:type="dxa"/>
            </w:tcMar>
            <w:vAlign w:val="center"/>
          </w:tcPr>
          <w:p>
            <w:pPr>
              <w:spacing w:after="0"/>
            </w:pPr>
            <w:r>
              <w:rPr>
                <w:rFonts w:ascii="Calibri" w:hAnsi="Calibri"/>
                <w:color w:val="19232D"/>
                <w:sz w:val="19"/>
              </w:rPr>
              <w:t>Higher turnaround time and inconsistent records</w:t>
            </w:r>
          </w:p>
        </w:tc>
      </w:tr>
      <w:tr>
        <w:tc>
          <w:tcPr>
            <w:tcW w:type="dxa" w:w="2300"/>
            <w:tcMar>
              <w:top w:w="80" w:type="dxa"/>
              <w:start w:w="120" w:type="dxa"/>
              <w:bottom w:w="80" w:type="dxa"/>
              <w:end w:w="120" w:type="dxa"/>
            </w:tcMar>
            <w:vAlign w:val="center"/>
          </w:tcPr>
          <w:p>
            <w:pPr>
              <w:spacing w:after="0"/>
            </w:pPr>
            <w:r>
              <w:rPr>
                <w:rFonts w:ascii="Calibri" w:hAnsi="Calibri"/>
                <w:color w:val="19232D"/>
                <w:sz w:val="19"/>
              </w:rPr>
              <w:t>Renewals</w:t>
            </w:r>
          </w:p>
        </w:tc>
        <w:tc>
          <w:tcPr>
            <w:tcW w:type="dxa" w:w="3900"/>
            <w:tcMar>
              <w:top w:w="80" w:type="dxa"/>
              <w:start w:w="120" w:type="dxa"/>
              <w:bottom w:w="80" w:type="dxa"/>
              <w:end w:w="120" w:type="dxa"/>
            </w:tcMar>
            <w:vAlign w:val="center"/>
          </w:tcPr>
          <w:p>
            <w:pPr>
              <w:spacing w:after="0"/>
            </w:pPr>
            <w:r>
              <w:rPr>
                <w:rFonts w:ascii="Calibri" w:hAnsi="Calibri"/>
                <w:color w:val="19232D"/>
                <w:sz w:val="19"/>
              </w:rPr>
              <w:t>Missed opportunities and fragmented follow-ups</w:t>
            </w:r>
          </w:p>
        </w:tc>
        <w:tc>
          <w:tcPr>
            <w:tcW w:type="dxa" w:w="3160"/>
            <w:tcMar>
              <w:top w:w="80" w:type="dxa"/>
              <w:start w:w="120" w:type="dxa"/>
              <w:bottom w:w="80" w:type="dxa"/>
              <w:end w:w="120" w:type="dxa"/>
            </w:tcMar>
            <w:vAlign w:val="center"/>
          </w:tcPr>
          <w:p>
            <w:pPr>
              <w:spacing w:after="0"/>
            </w:pPr>
            <w:r>
              <w:rPr>
                <w:rFonts w:ascii="Calibri" w:hAnsi="Calibri"/>
                <w:color w:val="19232D"/>
                <w:sz w:val="19"/>
              </w:rPr>
              <w:t>Lower retention and revenue leakage</w:t>
            </w:r>
          </w:p>
        </w:tc>
      </w:tr>
      <w:tr>
        <w:tc>
          <w:tcPr>
            <w:tcW w:type="dxa" w:w="2300"/>
            <w:tcMar>
              <w:top w:w="80" w:type="dxa"/>
              <w:start w:w="120" w:type="dxa"/>
              <w:bottom w:w="80" w:type="dxa"/>
              <w:end w:w="120" w:type="dxa"/>
            </w:tcMar>
            <w:vAlign w:val="center"/>
          </w:tcPr>
          <w:p>
            <w:pPr>
              <w:spacing w:after="0"/>
            </w:pPr>
            <w:r>
              <w:rPr>
                <w:rFonts w:ascii="Calibri" w:hAnsi="Calibri"/>
                <w:color w:val="19232D"/>
                <w:sz w:val="19"/>
              </w:rPr>
              <w:t>Claims</w:t>
            </w:r>
          </w:p>
        </w:tc>
        <w:tc>
          <w:tcPr>
            <w:tcW w:type="dxa" w:w="3900"/>
            <w:tcMar>
              <w:top w:w="80" w:type="dxa"/>
              <w:start w:w="120" w:type="dxa"/>
              <w:bottom w:w="80" w:type="dxa"/>
              <w:end w:w="120" w:type="dxa"/>
            </w:tcMar>
            <w:vAlign w:val="center"/>
          </w:tcPr>
          <w:p>
            <w:pPr>
              <w:spacing w:after="0"/>
            </w:pPr>
            <w:r>
              <w:rPr>
                <w:rFonts w:ascii="Calibri" w:hAnsi="Calibri"/>
                <w:color w:val="19232D"/>
                <w:sz w:val="19"/>
              </w:rPr>
              <w:t>Slow document collection and status tracking</w:t>
            </w:r>
          </w:p>
        </w:tc>
        <w:tc>
          <w:tcPr>
            <w:tcW w:type="dxa" w:w="3160"/>
            <w:tcMar>
              <w:top w:w="80" w:type="dxa"/>
              <w:start w:w="120" w:type="dxa"/>
              <w:bottom w:w="80" w:type="dxa"/>
              <w:end w:w="120" w:type="dxa"/>
            </w:tcMar>
            <w:vAlign w:val="center"/>
          </w:tcPr>
          <w:p>
            <w:pPr>
              <w:spacing w:after="0"/>
            </w:pPr>
            <w:r>
              <w:rPr>
                <w:rFonts w:ascii="Calibri" w:hAnsi="Calibri"/>
                <w:color w:val="19232D"/>
                <w:sz w:val="19"/>
              </w:rPr>
              <w:t>Poor customer visibility and service delays</w:t>
            </w:r>
          </w:p>
        </w:tc>
      </w:tr>
      <w:tr>
        <w:tc>
          <w:tcPr>
            <w:tcW w:type="dxa" w:w="2300"/>
            <w:tcMar>
              <w:top w:w="80" w:type="dxa"/>
              <w:start w:w="120" w:type="dxa"/>
              <w:bottom w:w="80" w:type="dxa"/>
              <w:end w:w="120" w:type="dxa"/>
            </w:tcMar>
            <w:vAlign w:val="center"/>
          </w:tcPr>
          <w:p>
            <w:pPr>
              <w:spacing w:after="0"/>
            </w:pPr>
            <w:r>
              <w:rPr>
                <w:rFonts w:ascii="Calibri" w:hAnsi="Calibri"/>
                <w:color w:val="19232D"/>
                <w:sz w:val="19"/>
              </w:rPr>
              <w:t>Management reporting</w:t>
            </w:r>
          </w:p>
        </w:tc>
        <w:tc>
          <w:tcPr>
            <w:tcW w:type="dxa" w:w="3900"/>
            <w:tcMar>
              <w:top w:w="80" w:type="dxa"/>
              <w:start w:w="120" w:type="dxa"/>
              <w:bottom w:w="80" w:type="dxa"/>
              <w:end w:w="120" w:type="dxa"/>
            </w:tcMar>
            <w:vAlign w:val="center"/>
          </w:tcPr>
          <w:p>
            <w:pPr>
              <w:spacing w:after="0"/>
            </w:pPr>
            <w:r>
              <w:rPr>
                <w:rFonts w:ascii="Calibri" w:hAnsi="Calibri"/>
                <w:color w:val="19232D"/>
                <w:sz w:val="19"/>
              </w:rPr>
              <w:t>Disconnected customer and policy data</w:t>
            </w:r>
          </w:p>
        </w:tc>
        <w:tc>
          <w:tcPr>
            <w:tcW w:type="dxa" w:w="3160"/>
            <w:tcMar>
              <w:top w:w="80" w:type="dxa"/>
              <w:start w:w="120" w:type="dxa"/>
              <w:bottom w:w="80" w:type="dxa"/>
              <w:end w:w="120" w:type="dxa"/>
            </w:tcMar>
            <w:vAlign w:val="center"/>
          </w:tcPr>
          <w:p>
            <w:pPr>
              <w:spacing w:after="0"/>
            </w:pPr>
            <w:r>
              <w:rPr>
                <w:rFonts w:ascii="Calibri" w:hAnsi="Calibri"/>
                <w:color w:val="19232D"/>
                <w:sz w:val="19"/>
              </w:rPr>
              <w:t>Limited insight into growth, productivity, and risk</w:t>
            </w:r>
          </w:p>
        </w:tc>
      </w:tr>
    </w:tbl>
    <w:p>
      <w:pPr>
        <w:spacing w:after="80"/>
      </w:pPr>
    </w:p>
    <w:p>
      <w:pPr>
        <w:pStyle w:val="Heading1"/>
        <w:keepNext/>
      </w:pPr>
      <w:r>
        <w:rPr>
          <w:rFonts w:ascii="Calibri" w:hAnsi="Calibri"/>
          <w:b/>
          <w:color w:val="2E74B5"/>
          <w:sz w:val="32"/>
        </w:rPr>
        <w:t>BimaHeadquarter Solution</w:t>
      </w:r>
    </w:p>
    <w:p>
      <w:pPr>
        <w:spacing w:before="0" w:after="120" w:line="264" w:lineRule="auto"/>
      </w:pPr>
      <w:r>
        <w:rPr>
          <w:rFonts w:ascii="Calibri" w:hAnsi="Calibri"/>
          <w:b w:val="0"/>
          <w:i w:val="0"/>
          <w:color w:val="19232D"/>
          <w:sz w:val="22"/>
        </w:rPr>
        <w:t>BimaHeadquarter provides a unified digital platform that manages the complete insurance business workflow through a secure, scalable, and intelligent CRM. Customer records, policy information, renewals, claims, endorsements, documents, reports, analytics, and communication are consolidated into a single interface.</w:t>
      </w:r>
    </w:p>
    <w:tbl>
      <w:tblPr>
        <w:tblW w:type="dxa" w:w="9360"/>
        <w:jc w:val="left"/>
        <w:tblLayout w:type="fixed"/>
        <w:tblLook w:firstColumn="1" w:firstRow="1" w:lastColumn="0" w:lastRow="0" w:noHBand="0" w:noVBand="1" w:val="04A0"/>
        <w:tblInd w:type="dxa" w:w="120"/>
        <w:tblBorders>
          <w:top w:val="single" w:sz="8" w:space="0" w:color="C9D3E1"/>
          <w:left w:val="single" w:sz="8" w:space="0" w:color="C9D3E1"/>
          <w:bottom w:val="single" w:sz="8" w:space="0" w:color="C9D3E1"/>
          <w:right w:val="single" w:sz="8" w:space="0" w:color="C9D3E1"/>
          <w:insideH w:val="single" w:sz="8" w:space="0" w:color="C9D3E1"/>
          <w:insideV w:val="single" w:sz="8" w:space="0" w:color="C9D3E1"/>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0"/>
            </w:pPr>
            <w:r>
              <w:rPr>
                <w:rFonts w:ascii="Calibri" w:hAnsi="Calibri"/>
                <w:b/>
                <w:color w:val="1F4D78"/>
                <w:sz w:val="21"/>
              </w:rPr>
              <w:t xml:space="preserve">Operating model: </w:t>
            </w:r>
            <w:r>
              <w:rPr>
                <w:rFonts w:ascii="Calibri" w:hAnsi="Calibri"/>
                <w:color w:val="19232D"/>
                <w:sz w:val="21"/>
              </w:rPr>
              <w:t>One system of record for customers, policies, teams, documents, follow-ups, and business performance.</w:t>
            </w:r>
          </w:p>
        </w:tc>
      </w:tr>
    </w:tbl>
    <w:p>
      <w:pPr>
        <w:spacing w:after="80"/>
      </w:pPr>
    </w:p>
    <w:p>
      <w:pPr>
        <w:pStyle w:val="Heading1"/>
        <w:keepNext/>
      </w:pPr>
      <w:r>
        <w:rPr>
          <w:rFonts w:ascii="Calibri" w:hAnsi="Calibri"/>
          <w:b/>
          <w:color w:val="2E74B5"/>
          <w:sz w:val="32"/>
        </w:rPr>
        <w:t>Core Platform Modules</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100"/>
        <w:gridCol w:w="3000"/>
        <w:gridCol w:w="4260"/>
      </w:tblGrid>
      <w:tr>
        <w:trPr>
          <w:tblHeader w:val="true"/>
        </w:trPr>
        <w:tc>
          <w:tcPr>
            <w:tcW w:type="dxa" w:w="2100"/>
            <w:tcMar>
              <w:top w:w="80" w:type="dxa"/>
              <w:start w:w="120" w:type="dxa"/>
              <w:bottom w:w="80" w:type="dxa"/>
              <w:end w:w="120" w:type="dxa"/>
            </w:tcMar>
            <w:vAlign w:val="center"/>
            <w:shd w:fill="F2F4F7"/>
          </w:tcPr>
          <w:p>
            <w:pPr>
              <w:spacing w:after="0"/>
            </w:pPr>
            <w:r>
              <w:rPr>
                <w:rFonts w:ascii="Calibri" w:hAnsi="Calibri"/>
                <w:b/>
                <w:color w:val="1F4D78"/>
                <w:sz w:val="20"/>
              </w:rPr>
              <w:t>Module</w:t>
            </w:r>
          </w:p>
        </w:tc>
        <w:tc>
          <w:tcPr>
            <w:tcW w:type="dxa" w:w="3000"/>
            <w:tcMar>
              <w:top w:w="80" w:type="dxa"/>
              <w:start w:w="120" w:type="dxa"/>
              <w:bottom w:w="80" w:type="dxa"/>
              <w:end w:w="120" w:type="dxa"/>
            </w:tcMar>
            <w:vAlign w:val="center"/>
            <w:shd w:fill="F2F4F7"/>
          </w:tcPr>
          <w:p>
            <w:pPr>
              <w:spacing w:after="0"/>
            </w:pPr>
            <w:r>
              <w:rPr>
                <w:rFonts w:ascii="Calibri" w:hAnsi="Calibri"/>
                <w:b/>
                <w:color w:val="1F4D78"/>
                <w:sz w:val="20"/>
              </w:rPr>
              <w:t>Purpose</w:t>
            </w:r>
          </w:p>
        </w:tc>
        <w:tc>
          <w:tcPr>
            <w:tcW w:type="dxa" w:w="4260"/>
            <w:tcMar>
              <w:top w:w="80" w:type="dxa"/>
              <w:start w:w="120" w:type="dxa"/>
              <w:bottom w:w="80" w:type="dxa"/>
              <w:end w:w="120" w:type="dxa"/>
            </w:tcMar>
            <w:vAlign w:val="center"/>
            <w:shd w:fill="F2F4F7"/>
          </w:tcPr>
          <w:p>
            <w:pPr>
              <w:spacing w:after="0"/>
            </w:pPr>
            <w:r>
              <w:rPr>
                <w:rFonts w:ascii="Calibri" w:hAnsi="Calibri"/>
                <w:b/>
                <w:color w:val="1F4D78"/>
                <w:sz w:val="20"/>
              </w:rPr>
              <w:t>Representative Capabilities</w:t>
            </w:r>
          </w:p>
        </w:tc>
      </w:tr>
      <w:tr>
        <w:tc>
          <w:tcPr>
            <w:tcW w:type="dxa" w:w="2100"/>
            <w:tcMar>
              <w:top w:w="80" w:type="dxa"/>
              <w:start w:w="120" w:type="dxa"/>
              <w:bottom w:w="80" w:type="dxa"/>
              <w:end w:w="120" w:type="dxa"/>
            </w:tcMar>
            <w:vAlign w:val="center"/>
          </w:tcPr>
          <w:p>
            <w:pPr>
              <w:spacing w:after="0"/>
            </w:pPr>
            <w:r>
              <w:rPr>
                <w:rFonts w:ascii="Calibri" w:hAnsi="Calibri"/>
                <w:color w:val="19232D"/>
                <w:sz w:val="19"/>
              </w:rPr>
              <w:t>Dashboard</w:t>
            </w:r>
          </w:p>
        </w:tc>
        <w:tc>
          <w:tcPr>
            <w:tcW w:type="dxa" w:w="3000"/>
            <w:tcMar>
              <w:top w:w="80" w:type="dxa"/>
              <w:start w:w="120" w:type="dxa"/>
              <w:bottom w:w="80" w:type="dxa"/>
              <w:end w:w="120" w:type="dxa"/>
            </w:tcMar>
            <w:vAlign w:val="center"/>
          </w:tcPr>
          <w:p>
            <w:pPr>
              <w:spacing w:after="0"/>
            </w:pPr>
            <w:r>
              <w:rPr>
                <w:rFonts w:ascii="Calibri" w:hAnsi="Calibri"/>
                <w:color w:val="19232D"/>
                <w:sz w:val="19"/>
              </w:rPr>
              <w:t>Real-time business performance overview</w:t>
            </w:r>
          </w:p>
        </w:tc>
        <w:tc>
          <w:tcPr>
            <w:tcW w:type="dxa" w:w="4260"/>
            <w:tcMar>
              <w:top w:w="80" w:type="dxa"/>
              <w:start w:w="120" w:type="dxa"/>
              <w:bottom w:w="80" w:type="dxa"/>
              <w:end w:w="120" w:type="dxa"/>
            </w:tcMar>
            <w:vAlign w:val="center"/>
          </w:tcPr>
          <w:p>
            <w:pPr>
              <w:spacing w:after="0"/>
            </w:pPr>
            <w:r>
              <w:rPr>
                <w:rFonts w:ascii="Calibri" w:hAnsi="Calibri"/>
                <w:color w:val="19232D"/>
                <w:sz w:val="19"/>
              </w:rPr>
              <w:t>KPIs, graphical reports, notifications, recent activities, team performance</w:t>
            </w:r>
          </w:p>
        </w:tc>
      </w:tr>
      <w:tr>
        <w:tc>
          <w:tcPr>
            <w:tcW w:type="dxa" w:w="2100"/>
            <w:tcMar>
              <w:top w:w="80" w:type="dxa"/>
              <w:start w:w="120" w:type="dxa"/>
              <w:bottom w:w="80" w:type="dxa"/>
              <w:end w:w="120" w:type="dxa"/>
            </w:tcMar>
            <w:vAlign w:val="center"/>
          </w:tcPr>
          <w:p>
            <w:pPr>
              <w:spacing w:after="0"/>
            </w:pPr>
            <w:r>
              <w:rPr>
                <w:rFonts w:ascii="Calibri" w:hAnsi="Calibri"/>
                <w:color w:val="19232D"/>
                <w:sz w:val="19"/>
              </w:rPr>
              <w:t>Customer Management</w:t>
            </w:r>
          </w:p>
        </w:tc>
        <w:tc>
          <w:tcPr>
            <w:tcW w:type="dxa" w:w="3000"/>
            <w:tcMar>
              <w:top w:w="80" w:type="dxa"/>
              <w:start w:w="120" w:type="dxa"/>
              <w:bottom w:w="80" w:type="dxa"/>
              <w:end w:w="120" w:type="dxa"/>
            </w:tcMar>
            <w:vAlign w:val="center"/>
          </w:tcPr>
          <w:p>
            <w:pPr>
              <w:spacing w:after="0"/>
            </w:pPr>
            <w:r>
              <w:rPr>
                <w:rFonts w:ascii="Calibri" w:hAnsi="Calibri"/>
                <w:color w:val="19232D"/>
                <w:sz w:val="19"/>
              </w:rPr>
              <w:t>Centralized profiles and relationship history</w:t>
            </w:r>
          </w:p>
        </w:tc>
        <w:tc>
          <w:tcPr>
            <w:tcW w:type="dxa" w:w="4260"/>
            <w:tcMar>
              <w:top w:w="80" w:type="dxa"/>
              <w:start w:w="120" w:type="dxa"/>
              <w:bottom w:w="80" w:type="dxa"/>
              <w:end w:w="120" w:type="dxa"/>
            </w:tcMar>
            <w:vAlign w:val="center"/>
          </w:tcPr>
          <w:p>
            <w:pPr>
              <w:spacing w:after="0"/>
            </w:pPr>
            <w:r>
              <w:rPr>
                <w:rFonts w:ascii="Calibri" w:hAnsi="Calibri"/>
                <w:color w:val="19232D"/>
                <w:sz w:val="19"/>
              </w:rPr>
              <w:t>Contact details, policy history, documents, communication records, search and filters</w:t>
            </w:r>
          </w:p>
        </w:tc>
      </w:tr>
      <w:tr>
        <w:tc>
          <w:tcPr>
            <w:tcW w:type="dxa" w:w="2100"/>
            <w:tcMar>
              <w:top w:w="80" w:type="dxa"/>
              <w:start w:w="120" w:type="dxa"/>
              <w:bottom w:w="80" w:type="dxa"/>
              <w:end w:w="120" w:type="dxa"/>
            </w:tcMar>
            <w:vAlign w:val="center"/>
          </w:tcPr>
          <w:p>
            <w:pPr>
              <w:spacing w:after="0"/>
            </w:pPr>
            <w:r>
              <w:rPr>
                <w:rFonts w:ascii="Calibri" w:hAnsi="Calibri"/>
                <w:color w:val="19232D"/>
                <w:sz w:val="19"/>
              </w:rPr>
              <w:t>Policy Management</w:t>
            </w:r>
          </w:p>
        </w:tc>
        <w:tc>
          <w:tcPr>
            <w:tcW w:type="dxa" w:w="3000"/>
            <w:tcMar>
              <w:top w:w="80" w:type="dxa"/>
              <w:start w:w="120" w:type="dxa"/>
              <w:bottom w:w="80" w:type="dxa"/>
              <w:end w:w="120" w:type="dxa"/>
            </w:tcMar>
            <w:vAlign w:val="center"/>
          </w:tcPr>
          <w:p>
            <w:pPr>
              <w:spacing w:after="0"/>
            </w:pPr>
            <w:r>
              <w:rPr>
                <w:rFonts w:ascii="Calibri" w:hAnsi="Calibri"/>
                <w:color w:val="19232D"/>
                <w:sz w:val="19"/>
              </w:rPr>
              <w:t>Storage and tracking across insurance categories</w:t>
            </w:r>
          </w:p>
        </w:tc>
        <w:tc>
          <w:tcPr>
            <w:tcW w:type="dxa" w:w="4260"/>
            <w:tcMar>
              <w:top w:w="80" w:type="dxa"/>
              <w:start w:w="120" w:type="dxa"/>
              <w:bottom w:w="80" w:type="dxa"/>
              <w:end w:w="120" w:type="dxa"/>
            </w:tcMar>
            <w:vAlign w:val="center"/>
          </w:tcPr>
          <w:p>
            <w:pPr>
              <w:spacing w:after="0"/>
            </w:pPr>
            <w:r>
              <w:rPr>
                <w:rFonts w:ascii="Calibri" w:hAnsi="Calibri"/>
                <w:color w:val="19232D"/>
                <w:sz w:val="19"/>
              </w:rPr>
              <w:t>Premiums, coverage, expiry monitoring, documents, advanced search</w:t>
            </w:r>
          </w:p>
        </w:tc>
      </w:tr>
      <w:tr>
        <w:tc>
          <w:tcPr>
            <w:tcW w:type="dxa" w:w="2100"/>
            <w:tcMar>
              <w:top w:w="80" w:type="dxa"/>
              <w:start w:w="120" w:type="dxa"/>
              <w:bottom w:w="80" w:type="dxa"/>
              <w:end w:w="120" w:type="dxa"/>
            </w:tcMar>
            <w:vAlign w:val="center"/>
          </w:tcPr>
          <w:p>
            <w:pPr>
              <w:spacing w:after="0"/>
            </w:pPr>
            <w:r>
              <w:rPr>
                <w:rFonts w:ascii="Calibri" w:hAnsi="Calibri"/>
                <w:color w:val="19232D"/>
                <w:sz w:val="19"/>
              </w:rPr>
              <w:t>Renewal Management</w:t>
            </w:r>
          </w:p>
        </w:tc>
        <w:tc>
          <w:tcPr>
            <w:tcW w:type="dxa" w:w="3000"/>
            <w:tcMar>
              <w:top w:w="80" w:type="dxa"/>
              <w:start w:w="120" w:type="dxa"/>
              <w:bottom w:w="80" w:type="dxa"/>
              <w:end w:w="120" w:type="dxa"/>
            </w:tcMar>
            <w:vAlign w:val="center"/>
          </w:tcPr>
          <w:p>
            <w:pPr>
              <w:spacing w:after="0"/>
            </w:pPr>
            <w:r>
              <w:rPr>
                <w:rFonts w:ascii="Calibri" w:hAnsi="Calibri"/>
                <w:color w:val="19232D"/>
                <w:sz w:val="19"/>
              </w:rPr>
              <w:t>Retention-focused renewal workflow</w:t>
            </w:r>
          </w:p>
        </w:tc>
        <w:tc>
          <w:tcPr>
            <w:tcW w:type="dxa" w:w="4260"/>
            <w:tcMar>
              <w:top w:w="80" w:type="dxa"/>
              <w:start w:w="120" w:type="dxa"/>
              <w:bottom w:w="80" w:type="dxa"/>
              <w:end w:w="120" w:type="dxa"/>
            </w:tcMar>
            <w:vAlign w:val="center"/>
          </w:tcPr>
          <w:p>
            <w:pPr>
              <w:spacing w:after="0"/>
            </w:pPr>
            <w:r>
              <w:rPr>
                <w:rFonts w:ascii="Calibri" w:hAnsi="Calibri"/>
                <w:color w:val="19232D"/>
                <w:sz w:val="19"/>
              </w:rPr>
              <w:t>Upcoming and expired renewals, follow-up status, lost renewal analysis</w:t>
            </w:r>
          </w:p>
        </w:tc>
      </w:tr>
      <w:tr>
        <w:tc>
          <w:tcPr>
            <w:tcW w:type="dxa" w:w="2100"/>
            <w:tcMar>
              <w:top w:w="80" w:type="dxa"/>
              <w:start w:w="120" w:type="dxa"/>
              <w:bottom w:w="80" w:type="dxa"/>
              <w:end w:w="120" w:type="dxa"/>
            </w:tcMar>
            <w:vAlign w:val="center"/>
          </w:tcPr>
          <w:p>
            <w:pPr>
              <w:spacing w:after="0"/>
            </w:pPr>
            <w:r>
              <w:rPr>
                <w:rFonts w:ascii="Calibri" w:hAnsi="Calibri"/>
                <w:color w:val="19232D"/>
                <w:sz w:val="19"/>
              </w:rPr>
              <w:t>Claims Management</w:t>
            </w:r>
          </w:p>
        </w:tc>
        <w:tc>
          <w:tcPr>
            <w:tcW w:type="dxa" w:w="3000"/>
            <w:tcMar>
              <w:top w:w="80" w:type="dxa"/>
              <w:start w:w="120" w:type="dxa"/>
              <w:bottom w:w="80" w:type="dxa"/>
              <w:end w:w="120" w:type="dxa"/>
            </w:tcMar>
            <w:vAlign w:val="center"/>
          </w:tcPr>
          <w:p>
            <w:pPr>
              <w:spacing w:after="0"/>
            </w:pPr>
            <w:r>
              <w:rPr>
                <w:rFonts w:ascii="Calibri" w:hAnsi="Calibri"/>
                <w:color w:val="19232D"/>
                <w:sz w:val="19"/>
              </w:rPr>
              <w:t>Claim lifecycle coordination</w:t>
            </w:r>
          </w:p>
        </w:tc>
        <w:tc>
          <w:tcPr>
            <w:tcW w:type="dxa" w:w="4260"/>
            <w:tcMar>
              <w:top w:w="80" w:type="dxa"/>
              <w:start w:w="120" w:type="dxa"/>
              <w:bottom w:w="80" w:type="dxa"/>
              <w:end w:w="120" w:type="dxa"/>
            </w:tcMar>
            <w:vAlign w:val="center"/>
          </w:tcPr>
          <w:p>
            <w:pPr>
              <w:spacing w:after="0"/>
            </w:pPr>
            <w:r>
              <w:rPr>
                <w:rFonts w:ascii="Calibri" w:hAnsi="Calibri"/>
                <w:color w:val="19232D"/>
                <w:sz w:val="19"/>
              </w:rPr>
              <w:t>Registration, document collection, survey, processing, settlement tracking</w:t>
            </w:r>
          </w:p>
        </w:tc>
      </w:tr>
      <w:tr>
        <w:tc>
          <w:tcPr>
            <w:tcW w:type="dxa" w:w="2100"/>
            <w:tcMar>
              <w:top w:w="80" w:type="dxa"/>
              <w:start w:w="120" w:type="dxa"/>
              <w:bottom w:w="80" w:type="dxa"/>
              <w:end w:w="120" w:type="dxa"/>
            </w:tcMar>
            <w:vAlign w:val="center"/>
          </w:tcPr>
          <w:p>
            <w:pPr>
              <w:spacing w:after="0"/>
            </w:pPr>
            <w:r>
              <w:rPr>
                <w:rFonts w:ascii="Calibri" w:hAnsi="Calibri"/>
                <w:color w:val="19232D"/>
                <w:sz w:val="19"/>
              </w:rPr>
              <w:t>Endorsements</w:t>
            </w:r>
          </w:p>
        </w:tc>
        <w:tc>
          <w:tcPr>
            <w:tcW w:type="dxa" w:w="3000"/>
            <w:tcMar>
              <w:top w:w="80" w:type="dxa"/>
              <w:start w:w="120" w:type="dxa"/>
              <w:bottom w:w="80" w:type="dxa"/>
              <w:end w:w="120" w:type="dxa"/>
            </w:tcMar>
            <w:vAlign w:val="center"/>
          </w:tcPr>
          <w:p>
            <w:pPr>
              <w:spacing w:after="0"/>
            </w:pPr>
            <w:r>
              <w:rPr>
                <w:rFonts w:ascii="Calibri" w:hAnsi="Calibri"/>
                <w:color w:val="19232D"/>
                <w:sz w:val="19"/>
              </w:rPr>
              <w:t>Structured policy modification support</w:t>
            </w:r>
          </w:p>
        </w:tc>
        <w:tc>
          <w:tcPr>
            <w:tcW w:type="dxa" w:w="4260"/>
            <w:tcMar>
              <w:top w:w="80" w:type="dxa"/>
              <w:start w:w="120" w:type="dxa"/>
              <w:bottom w:w="80" w:type="dxa"/>
              <w:end w:w="120" w:type="dxa"/>
            </w:tcMar>
            <w:vAlign w:val="center"/>
          </w:tcPr>
          <w:p>
            <w:pPr>
              <w:spacing w:after="0"/>
            </w:pPr>
            <w:r>
              <w:rPr>
                <w:rFonts w:ascii="Calibri" w:hAnsi="Calibri"/>
                <w:color w:val="19232D"/>
                <w:sz w:val="19"/>
              </w:rPr>
              <w:t>Address changes, name corrections, financier updates, sum insured revisions, policy corrections</w:t>
            </w:r>
          </w:p>
        </w:tc>
      </w:tr>
    </w:tbl>
    <w:p>
      <w:pPr>
        <w:spacing w:after="80"/>
      </w:pPr>
    </w:p>
    <w:p>
      <w:pPr>
        <w:pStyle w:val="Heading1"/>
        <w:keepNext/>
      </w:pPr>
      <w:r>
        <w:rPr>
          <w:rFonts w:ascii="Calibri" w:hAnsi="Calibri"/>
          <w:b/>
          <w:color w:val="2E74B5"/>
          <w:sz w:val="32"/>
        </w:rPr>
        <w:t>Policy Lines Supported</w:t>
      </w:r>
    </w:p>
    <w:p>
      <w:pPr>
        <w:pStyle w:val="ListBullet"/>
        <w:spacing w:after="80" w:line="280" w:lineRule="auto"/>
      </w:pPr>
      <w:r>
        <w:rPr>
          <w:rFonts w:ascii="Calibri" w:hAnsi="Calibri"/>
          <w:color w:val="19232D"/>
          <w:sz w:val="21"/>
        </w:rPr>
        <w:t>Motor, health, life, commercial, fire, marine, warehouse, engineering, and miscellaneous insurance.</w:t>
      </w:r>
    </w:p>
    <w:p>
      <w:pPr>
        <w:pStyle w:val="ListBullet"/>
        <w:spacing w:after="80" w:line="280" w:lineRule="auto"/>
      </w:pPr>
      <w:r>
        <w:rPr>
          <w:rFonts w:ascii="Calibri" w:hAnsi="Calibri"/>
          <w:color w:val="19232D"/>
          <w:sz w:val="21"/>
        </w:rPr>
        <w:t>Policy storage, premium tracking, coverage management, expiry monitoring, document handling, and advanced search.</w:t>
      </w:r>
    </w:p>
    <w:p>
      <w:pPr>
        <w:pStyle w:val="Heading1"/>
        <w:keepNext/>
      </w:pPr>
      <w:r>
        <w:rPr>
          <w:rFonts w:ascii="Calibri" w:hAnsi="Calibri"/>
          <w:b/>
          <w:color w:val="2E74B5"/>
          <w:sz w:val="32"/>
        </w:rPr>
        <w:t>Intelligent PDF Processing</w:t>
      </w:r>
    </w:p>
    <w:p>
      <w:pPr>
        <w:spacing w:before="0" w:after="120" w:line="264" w:lineRule="auto"/>
      </w:pPr>
      <w:r>
        <w:rPr>
          <w:rFonts w:ascii="Calibri" w:hAnsi="Calibri"/>
          <w:b w:val="0"/>
          <w:i w:val="0"/>
          <w:color w:val="19232D"/>
          <w:sz w:val="22"/>
        </w:rPr>
        <w:t>One of the platform's key differentiators is intelligent document processing. The system uses OCR and document intelligence to extract important information from insurance policy PDFs and presents the output for user review before saving.</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500"/>
        <w:gridCol w:w="5860"/>
      </w:tblGrid>
      <w:tr>
        <w:trPr>
          <w:tblHeader w:val="true"/>
        </w:trPr>
        <w:tc>
          <w:tcPr>
            <w:tcW w:type="dxa" w:w="3500"/>
            <w:tcMar>
              <w:top w:w="80" w:type="dxa"/>
              <w:start w:w="120" w:type="dxa"/>
              <w:bottom w:w="80" w:type="dxa"/>
              <w:end w:w="120" w:type="dxa"/>
            </w:tcMar>
            <w:vAlign w:val="center"/>
            <w:shd w:fill="F2F4F7"/>
          </w:tcPr>
          <w:p>
            <w:pPr>
              <w:spacing w:after="0"/>
            </w:pPr>
            <w:r>
              <w:rPr>
                <w:rFonts w:ascii="Calibri" w:hAnsi="Calibri"/>
                <w:b/>
                <w:color w:val="1F4D78"/>
                <w:sz w:val="20"/>
              </w:rPr>
              <w:t>Extracted Data</w:t>
            </w:r>
          </w:p>
        </w:tc>
        <w:tc>
          <w:tcPr>
            <w:tcW w:type="dxa" w:w="5860"/>
            <w:tcMar>
              <w:top w:w="80" w:type="dxa"/>
              <w:start w:w="120" w:type="dxa"/>
              <w:bottom w:w="80" w:type="dxa"/>
              <w:end w:w="120" w:type="dxa"/>
            </w:tcMar>
            <w:vAlign w:val="center"/>
            <w:shd w:fill="F2F4F7"/>
          </w:tcPr>
          <w:p>
            <w:pPr>
              <w:spacing w:after="0"/>
            </w:pPr>
            <w:r>
              <w:rPr>
                <w:rFonts w:ascii="Calibri" w:hAnsi="Calibri"/>
                <w:b/>
                <w:color w:val="1F4D78"/>
                <w:sz w:val="20"/>
              </w:rPr>
              <w:t>Operational Value</w:t>
            </w:r>
          </w:p>
        </w:tc>
      </w:tr>
      <w:tr>
        <w:tc>
          <w:tcPr>
            <w:tcW w:type="dxa" w:w="3500"/>
            <w:tcMar>
              <w:top w:w="80" w:type="dxa"/>
              <w:start w:w="120" w:type="dxa"/>
              <w:bottom w:w="80" w:type="dxa"/>
              <w:end w:w="120" w:type="dxa"/>
            </w:tcMar>
            <w:vAlign w:val="center"/>
          </w:tcPr>
          <w:p>
            <w:pPr>
              <w:spacing w:after="0"/>
            </w:pPr>
            <w:r>
              <w:rPr>
                <w:rFonts w:ascii="Calibri" w:hAnsi="Calibri"/>
                <w:color w:val="19232D"/>
                <w:sz w:val="19"/>
              </w:rPr>
              <w:t>Customer name, policy number, insurer, and policy dates</w:t>
            </w:r>
          </w:p>
        </w:tc>
        <w:tc>
          <w:tcPr>
            <w:tcW w:type="dxa" w:w="5860"/>
            <w:tcMar>
              <w:top w:w="80" w:type="dxa"/>
              <w:start w:w="120" w:type="dxa"/>
              <w:bottom w:w="80" w:type="dxa"/>
              <w:end w:w="120" w:type="dxa"/>
            </w:tcMar>
            <w:vAlign w:val="center"/>
          </w:tcPr>
          <w:p>
            <w:pPr>
              <w:spacing w:after="0"/>
            </w:pPr>
            <w:r>
              <w:rPr>
                <w:rFonts w:ascii="Calibri" w:hAnsi="Calibri"/>
                <w:color w:val="19232D"/>
                <w:sz w:val="19"/>
              </w:rPr>
              <w:t>Reduces repetitive entry and improves record consistency</w:t>
            </w:r>
          </w:p>
        </w:tc>
      </w:tr>
      <w:tr>
        <w:tc>
          <w:tcPr>
            <w:tcW w:type="dxa" w:w="3500"/>
            <w:tcMar>
              <w:top w:w="80" w:type="dxa"/>
              <w:start w:w="120" w:type="dxa"/>
              <w:bottom w:w="80" w:type="dxa"/>
              <w:end w:w="120" w:type="dxa"/>
            </w:tcMar>
            <w:vAlign w:val="center"/>
          </w:tcPr>
          <w:p>
            <w:pPr>
              <w:spacing w:after="0"/>
            </w:pPr>
            <w:r>
              <w:rPr>
                <w:rFonts w:ascii="Calibri" w:hAnsi="Calibri"/>
                <w:color w:val="19232D"/>
                <w:sz w:val="19"/>
              </w:rPr>
              <w:t>Premium, sum insured, coverage, and vehicle details</w:t>
            </w:r>
          </w:p>
        </w:tc>
        <w:tc>
          <w:tcPr>
            <w:tcW w:type="dxa" w:w="5860"/>
            <w:tcMar>
              <w:top w:w="80" w:type="dxa"/>
              <w:start w:w="120" w:type="dxa"/>
              <w:bottom w:w="80" w:type="dxa"/>
              <w:end w:w="120" w:type="dxa"/>
            </w:tcMar>
            <w:vAlign w:val="center"/>
          </w:tcPr>
          <w:p>
            <w:pPr>
              <w:spacing w:after="0"/>
            </w:pPr>
            <w:r>
              <w:rPr>
                <w:rFonts w:ascii="Calibri" w:hAnsi="Calibri"/>
                <w:color w:val="19232D"/>
                <w:sz w:val="19"/>
              </w:rPr>
              <w:t>Speeds policy creation and improves downstream reporting</w:t>
            </w:r>
          </w:p>
        </w:tc>
      </w:tr>
      <w:tr>
        <w:tc>
          <w:tcPr>
            <w:tcW w:type="dxa" w:w="3500"/>
            <w:tcMar>
              <w:top w:w="80" w:type="dxa"/>
              <w:start w:w="120" w:type="dxa"/>
              <w:bottom w:w="80" w:type="dxa"/>
              <w:end w:w="120" w:type="dxa"/>
            </w:tcMar>
            <w:vAlign w:val="center"/>
          </w:tcPr>
          <w:p>
            <w:pPr>
              <w:spacing w:after="0"/>
            </w:pPr>
            <w:r>
              <w:rPr>
                <w:rFonts w:ascii="Calibri" w:hAnsi="Calibri"/>
                <w:color w:val="19232D"/>
                <w:sz w:val="19"/>
              </w:rPr>
              <w:t>Review-before-save workflow</w:t>
            </w:r>
          </w:p>
        </w:tc>
        <w:tc>
          <w:tcPr>
            <w:tcW w:type="dxa" w:w="5860"/>
            <w:tcMar>
              <w:top w:w="80" w:type="dxa"/>
              <w:start w:w="120" w:type="dxa"/>
              <w:bottom w:w="80" w:type="dxa"/>
              <w:end w:w="120" w:type="dxa"/>
            </w:tcMar>
            <w:vAlign w:val="center"/>
          </w:tcPr>
          <w:p>
            <w:pPr>
              <w:spacing w:after="0"/>
            </w:pPr>
            <w:r>
              <w:rPr>
                <w:rFonts w:ascii="Calibri" w:hAnsi="Calibri"/>
                <w:color w:val="19232D"/>
                <w:sz w:val="19"/>
              </w:rPr>
              <w:t>Maintains human control while minimizing manual effort</w:t>
            </w:r>
          </w:p>
        </w:tc>
      </w:tr>
    </w:tbl>
    <w:p>
      <w:pPr>
        <w:spacing w:after="80"/>
      </w:pPr>
    </w:p>
    <w:p>
      <w:pPr>
        <w:pStyle w:val="Heading1"/>
        <w:keepNext/>
      </w:pPr>
      <w:r>
        <w:rPr>
          <w:rFonts w:ascii="Calibri" w:hAnsi="Calibri"/>
          <w:b/>
          <w:color w:val="2E74B5"/>
          <w:sz w:val="32"/>
        </w:rPr>
        <w:t>Manual Entry, Renewals, Claims, and Endorsements</w:t>
      </w:r>
    </w:p>
    <w:p>
      <w:pPr>
        <w:spacing w:before="0" w:after="120" w:line="264" w:lineRule="auto"/>
      </w:pPr>
      <w:r>
        <w:rPr>
          <w:rFonts w:ascii="Calibri" w:hAnsi="Calibri"/>
          <w:b w:val="0"/>
          <w:i w:val="0"/>
          <w:color w:val="19232D"/>
          <w:sz w:val="22"/>
        </w:rPr>
        <w:t>For policies requiring manual processing, the CRM provides structured forms with validation, dynamic field loading, customer linking, and streamlined workflows. Renewal, claim, and endorsement modules then carry that data into recurring service processes.</w:t>
      </w:r>
    </w:p>
    <w:p>
      <w:pPr>
        <w:pStyle w:val="ListBullet"/>
        <w:spacing w:after="80" w:line="280" w:lineRule="auto"/>
      </w:pPr>
      <w:r>
        <w:rPr>
          <w:rFonts w:ascii="Calibri" w:hAnsi="Calibri"/>
          <w:color w:val="19232D"/>
          <w:sz w:val="21"/>
        </w:rPr>
        <w:t>Renewal workflow: upcoming renewals, expired policies, contact-wise and policy-wise tracking, renewal status, follow-up management, and lost renewal analysis.</w:t>
      </w:r>
    </w:p>
    <w:p>
      <w:pPr>
        <w:pStyle w:val="ListBullet"/>
        <w:spacing w:after="80" w:line="280" w:lineRule="auto"/>
      </w:pPr>
      <w:r>
        <w:rPr>
          <w:rFonts w:ascii="Calibri" w:hAnsi="Calibri"/>
          <w:color w:val="19232D"/>
          <w:sz w:val="21"/>
        </w:rPr>
        <w:t>Claim workflow: registration, document collection, survey, processing, and settlement monitoring.</w:t>
      </w:r>
    </w:p>
    <w:p>
      <w:pPr>
        <w:pStyle w:val="ListBullet"/>
        <w:spacing w:after="80" w:line="280" w:lineRule="auto"/>
      </w:pPr>
      <w:r>
        <w:rPr>
          <w:rFonts w:ascii="Calibri" w:hAnsi="Calibri"/>
          <w:color w:val="19232D"/>
          <w:sz w:val="21"/>
        </w:rPr>
        <w:t>Endorsement workflow: address changes, name corrections, financier updates, sum insured revisions, vehicle detail changes, and printable endorsement documents.</w:t>
      </w:r>
    </w:p>
    <w:p>
      <w:pPr>
        <w:pStyle w:val="Heading1"/>
        <w:keepNext/>
      </w:pPr>
      <w:r>
        <w:rPr>
          <w:rFonts w:ascii="Calibri" w:hAnsi="Calibri"/>
          <w:b/>
          <w:color w:val="2E74B5"/>
          <w:sz w:val="32"/>
        </w:rPr>
        <w:t>Reporting, Analytics, and Automation</w:t>
      </w:r>
    </w:p>
    <w:p>
      <w:pPr>
        <w:spacing w:before="0" w:after="120" w:line="264" w:lineRule="auto"/>
      </w:pPr>
      <w:r>
        <w:rPr>
          <w:rFonts w:ascii="Calibri" w:hAnsi="Calibri"/>
          <w:b w:val="0"/>
          <w:i w:val="0"/>
          <w:color w:val="19232D"/>
          <w:sz w:val="22"/>
        </w:rPr>
        <w:t>The reporting layer helps management make informed decisions, while automation improves customer engagement and reduces repetitive follow-up work.</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pPr>
            <w:r>
              <w:rPr>
                <w:rFonts w:ascii="Calibri" w:hAnsi="Calibri"/>
                <w:b/>
                <w:color w:val="1F4D78"/>
                <w:sz w:val="20"/>
              </w:rPr>
              <w:t>Capability</w:t>
            </w:r>
          </w:p>
        </w:tc>
        <w:tc>
          <w:tcPr>
            <w:tcW w:type="dxa" w:w="6860"/>
            <w:tcMar>
              <w:top w:w="80" w:type="dxa"/>
              <w:start w:w="120" w:type="dxa"/>
              <w:bottom w:w="80" w:type="dxa"/>
              <w:end w:w="120" w:type="dxa"/>
            </w:tcMar>
            <w:vAlign w:val="center"/>
            <w:shd w:fill="F2F4F7"/>
          </w:tcPr>
          <w:p>
            <w:pPr>
              <w:spacing w:after="0"/>
            </w:pPr>
            <w:r>
              <w:rPr>
                <w:rFonts w:ascii="Calibri" w:hAnsi="Calibri"/>
                <w:b/>
                <w:color w:val="1F4D78"/>
                <w:sz w:val="20"/>
              </w:rPr>
              <w:t>Examples</w:t>
            </w:r>
          </w:p>
        </w:tc>
      </w:tr>
      <w:tr>
        <w:tc>
          <w:tcPr>
            <w:tcW w:type="dxa" w:w="2500"/>
            <w:tcMar>
              <w:top w:w="80" w:type="dxa"/>
              <w:start w:w="120" w:type="dxa"/>
              <w:bottom w:w="80" w:type="dxa"/>
              <w:end w:w="120" w:type="dxa"/>
            </w:tcMar>
            <w:vAlign w:val="center"/>
          </w:tcPr>
          <w:p>
            <w:pPr>
              <w:spacing w:after="0"/>
            </w:pPr>
            <w:r>
              <w:rPr>
                <w:rFonts w:ascii="Calibri" w:hAnsi="Calibri"/>
                <w:color w:val="19232D"/>
                <w:sz w:val="19"/>
              </w:rPr>
              <w:t>Reports</w:t>
            </w:r>
          </w:p>
        </w:tc>
        <w:tc>
          <w:tcPr>
            <w:tcW w:type="dxa" w:w="6860"/>
            <w:tcMar>
              <w:top w:w="80" w:type="dxa"/>
              <w:start w:w="120" w:type="dxa"/>
              <w:bottom w:w="80" w:type="dxa"/>
              <w:end w:w="120" w:type="dxa"/>
            </w:tcMar>
            <w:vAlign w:val="center"/>
          </w:tcPr>
          <w:p>
            <w:pPr>
              <w:spacing w:after="0"/>
            </w:pPr>
            <w:r>
              <w:rPr>
                <w:rFonts w:ascii="Calibri" w:hAnsi="Calibri"/>
                <w:color w:val="19232D"/>
                <w:sz w:val="19"/>
              </w:rPr>
              <w:t>Sales, customer, policy, renewal, claim, team performance, premium analysis, and growth reports</w:t>
            </w:r>
          </w:p>
        </w:tc>
      </w:tr>
      <w:tr>
        <w:tc>
          <w:tcPr>
            <w:tcW w:type="dxa" w:w="2500"/>
            <w:tcMar>
              <w:top w:w="80" w:type="dxa"/>
              <w:start w:w="120" w:type="dxa"/>
              <w:bottom w:w="80" w:type="dxa"/>
              <w:end w:w="120" w:type="dxa"/>
            </w:tcMar>
            <w:vAlign w:val="center"/>
          </w:tcPr>
          <w:p>
            <w:pPr>
              <w:spacing w:after="0"/>
            </w:pPr>
            <w:r>
              <w:rPr>
                <w:rFonts w:ascii="Calibri" w:hAnsi="Calibri"/>
                <w:color w:val="19232D"/>
                <w:sz w:val="19"/>
              </w:rPr>
              <w:t>Dashboards</w:t>
            </w:r>
          </w:p>
        </w:tc>
        <w:tc>
          <w:tcPr>
            <w:tcW w:type="dxa" w:w="6860"/>
            <w:tcMar>
              <w:top w:w="80" w:type="dxa"/>
              <w:start w:w="120" w:type="dxa"/>
              <w:bottom w:w="80" w:type="dxa"/>
              <w:end w:w="120" w:type="dxa"/>
            </w:tcMar>
            <w:vAlign w:val="center"/>
          </w:tcPr>
          <w:p>
            <w:pPr>
              <w:spacing w:after="0"/>
            </w:pPr>
            <w:r>
              <w:rPr>
                <w:rFonts w:ascii="Calibri" w:hAnsi="Calibri"/>
                <w:color w:val="19232D"/>
                <w:sz w:val="19"/>
              </w:rPr>
              <w:t>Executive dashboards, KPIs, revenue views, renewals, claims, endorsements, and team performance</w:t>
            </w:r>
          </w:p>
        </w:tc>
      </w:tr>
      <w:tr>
        <w:tc>
          <w:tcPr>
            <w:tcW w:type="dxa" w:w="2500"/>
            <w:tcMar>
              <w:top w:w="80" w:type="dxa"/>
              <w:start w:w="120" w:type="dxa"/>
              <w:bottom w:w="80" w:type="dxa"/>
              <w:end w:w="120" w:type="dxa"/>
            </w:tcMar>
            <w:vAlign w:val="center"/>
          </w:tcPr>
          <w:p>
            <w:pPr>
              <w:spacing w:after="0"/>
            </w:pPr>
            <w:r>
              <w:rPr>
                <w:rFonts w:ascii="Calibri" w:hAnsi="Calibri"/>
                <w:color w:val="19232D"/>
                <w:sz w:val="19"/>
              </w:rPr>
              <w:t>Automation</w:t>
            </w:r>
          </w:p>
        </w:tc>
        <w:tc>
          <w:tcPr>
            <w:tcW w:type="dxa" w:w="6860"/>
            <w:tcMar>
              <w:top w:w="80" w:type="dxa"/>
              <w:start w:w="120" w:type="dxa"/>
              <w:bottom w:w="80" w:type="dxa"/>
              <w:end w:w="120" w:type="dxa"/>
            </w:tcMar>
            <w:vAlign w:val="center"/>
          </w:tcPr>
          <w:p>
            <w:pPr>
              <w:spacing w:after="0"/>
            </w:pPr>
            <w:r>
              <w:rPr>
                <w:rFonts w:ascii="Calibri" w:hAnsi="Calibri"/>
                <w:color w:val="19232D"/>
                <w:sz w:val="19"/>
              </w:rPr>
              <w:t>Renewal reminders, birthday greetings, follow-up notifications, customer updates, bulk messaging, and templates</w:t>
            </w:r>
          </w:p>
        </w:tc>
      </w:tr>
    </w:tbl>
    <w:p>
      <w:pPr>
        <w:spacing w:after="80"/>
      </w:pPr>
    </w:p>
    <w:p>
      <w:pPr>
        <w:pStyle w:val="Heading1"/>
        <w:keepNext/>
      </w:pPr>
      <w:r>
        <w:rPr>
          <w:rFonts w:ascii="Calibri" w:hAnsi="Calibri"/>
          <w:b/>
          <w:color w:val="2E74B5"/>
          <w:sz w:val="32"/>
        </w:rPr>
        <w:t>User Management and Security</w:t>
      </w:r>
    </w:p>
    <w:p>
      <w:pPr>
        <w:spacing w:before="0" w:after="120" w:line="264" w:lineRule="auto"/>
      </w:pPr>
      <w:r>
        <w:rPr>
          <w:rFonts w:ascii="Calibri" w:hAnsi="Calibri"/>
          <w:b w:val="0"/>
          <w:i w:val="0"/>
          <w:color w:val="19232D"/>
          <w:sz w:val="22"/>
        </w:rPr>
        <w:t>The CRM includes role-based access control and secure authentication so organizations can manage access based on operational responsibility.</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900"/>
        <w:gridCol w:w="5460"/>
      </w:tblGrid>
      <w:tr>
        <w:trPr>
          <w:tblHeader w:val="true"/>
        </w:trPr>
        <w:tc>
          <w:tcPr>
            <w:tcW w:type="dxa" w:w="3900"/>
            <w:tcMar>
              <w:top w:w="80" w:type="dxa"/>
              <w:start w:w="120" w:type="dxa"/>
              <w:bottom w:w="80" w:type="dxa"/>
              <w:end w:w="120" w:type="dxa"/>
            </w:tcMar>
            <w:vAlign w:val="center"/>
            <w:shd w:fill="F2F4F7"/>
          </w:tcPr>
          <w:p>
            <w:pPr>
              <w:spacing w:after="0"/>
            </w:pPr>
            <w:r>
              <w:rPr>
                <w:rFonts w:ascii="Calibri" w:hAnsi="Calibri"/>
                <w:b/>
                <w:color w:val="1F4D78"/>
                <w:sz w:val="20"/>
              </w:rPr>
              <w:t>User Roles</w:t>
            </w:r>
          </w:p>
        </w:tc>
        <w:tc>
          <w:tcPr>
            <w:tcW w:type="dxa" w:w="5460"/>
            <w:tcMar>
              <w:top w:w="80" w:type="dxa"/>
              <w:start w:w="120" w:type="dxa"/>
              <w:bottom w:w="80" w:type="dxa"/>
              <w:end w:w="120" w:type="dxa"/>
            </w:tcMar>
            <w:vAlign w:val="center"/>
            <w:shd w:fill="F2F4F7"/>
          </w:tcPr>
          <w:p>
            <w:pPr>
              <w:spacing w:after="0"/>
            </w:pPr>
            <w:r>
              <w:rPr>
                <w:rFonts w:ascii="Calibri" w:hAnsi="Calibri"/>
                <w:b/>
                <w:color w:val="1F4D78"/>
                <w:sz w:val="20"/>
              </w:rPr>
              <w:t>Security Features</w:t>
            </w:r>
          </w:p>
        </w:tc>
      </w:tr>
      <w:tr>
        <w:tc>
          <w:tcPr>
            <w:tcW w:type="dxa" w:w="3900"/>
            <w:tcMar>
              <w:top w:w="80" w:type="dxa"/>
              <w:start w:w="120" w:type="dxa"/>
              <w:bottom w:w="80" w:type="dxa"/>
              <w:end w:w="120" w:type="dxa"/>
            </w:tcMar>
            <w:vAlign w:val="center"/>
          </w:tcPr>
          <w:p>
            <w:pPr>
              <w:spacing w:after="0"/>
            </w:pPr>
            <w:r>
              <w:rPr>
                <w:rFonts w:ascii="Calibri" w:hAnsi="Calibri"/>
                <w:color w:val="19232D"/>
                <w:sz w:val="19"/>
              </w:rPr>
              <w:t>Super Admin, Admin, Manager, Agent, Viewer</w:t>
            </w:r>
          </w:p>
        </w:tc>
        <w:tc>
          <w:tcPr>
            <w:tcW w:type="dxa" w:w="5460"/>
            <w:tcMar>
              <w:top w:w="80" w:type="dxa"/>
              <w:start w:w="120" w:type="dxa"/>
              <w:bottom w:w="80" w:type="dxa"/>
              <w:end w:w="120" w:type="dxa"/>
            </w:tcMar>
            <w:vAlign w:val="center"/>
          </w:tcPr>
          <w:p>
            <w:pPr>
              <w:spacing w:after="0"/>
            </w:pPr>
            <w:r>
              <w:rPr>
                <w:rFonts w:ascii="Calibri" w:hAnsi="Calibri"/>
                <w:color w:val="19232D"/>
                <w:sz w:val="19"/>
              </w:rPr>
              <w:t>Secure authentication, role-based permissions, data protection, audit logging, backup support, and cloud infrastructure</w:t>
            </w:r>
          </w:p>
        </w:tc>
      </w:tr>
    </w:tbl>
    <w:p>
      <w:pPr>
        <w:spacing w:after="80"/>
      </w:pPr>
    </w:p>
    <w:p>
      <w:pPr>
        <w:pStyle w:val="Heading1"/>
        <w:keepNext/>
      </w:pPr>
      <w:r>
        <w:rPr>
          <w:rFonts w:ascii="Calibri" w:hAnsi="Calibri"/>
          <w:b/>
          <w:color w:val="2E74B5"/>
          <w:sz w:val="32"/>
        </w:rPr>
        <w:t>Technology Stack</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800"/>
        <w:gridCol w:w="6560"/>
      </w:tblGrid>
      <w:tr>
        <w:trPr>
          <w:tblHeader w:val="true"/>
        </w:trPr>
        <w:tc>
          <w:tcPr>
            <w:tcW w:type="dxa" w:w="2800"/>
            <w:tcMar>
              <w:top w:w="80" w:type="dxa"/>
              <w:start w:w="120" w:type="dxa"/>
              <w:bottom w:w="80" w:type="dxa"/>
              <w:end w:w="120" w:type="dxa"/>
            </w:tcMar>
            <w:vAlign w:val="center"/>
            <w:shd w:fill="F2F4F7"/>
          </w:tcPr>
          <w:p>
            <w:pPr>
              <w:spacing w:after="0"/>
            </w:pPr>
            <w:r>
              <w:rPr>
                <w:rFonts w:ascii="Calibri" w:hAnsi="Calibri"/>
                <w:b/>
                <w:color w:val="1F4D78"/>
                <w:sz w:val="20"/>
              </w:rPr>
              <w:t>Layer</w:t>
            </w:r>
          </w:p>
        </w:tc>
        <w:tc>
          <w:tcPr>
            <w:tcW w:type="dxa" w:w="6560"/>
            <w:tcMar>
              <w:top w:w="80" w:type="dxa"/>
              <w:start w:w="120" w:type="dxa"/>
              <w:bottom w:w="80" w:type="dxa"/>
              <w:end w:w="120" w:type="dxa"/>
            </w:tcMar>
            <w:vAlign w:val="center"/>
            <w:shd w:fill="F2F4F7"/>
          </w:tcPr>
          <w:p>
            <w:pPr>
              <w:spacing w:after="0"/>
            </w:pPr>
            <w:r>
              <w:rPr>
                <w:rFonts w:ascii="Calibri" w:hAnsi="Calibri"/>
                <w:b/>
                <w:color w:val="1F4D78"/>
                <w:sz w:val="20"/>
              </w:rPr>
              <w:t>Technology</w:t>
            </w:r>
          </w:p>
        </w:tc>
      </w:tr>
      <w:tr>
        <w:tc>
          <w:tcPr>
            <w:tcW w:type="dxa" w:w="2800"/>
            <w:tcMar>
              <w:top w:w="80" w:type="dxa"/>
              <w:start w:w="120" w:type="dxa"/>
              <w:bottom w:w="80" w:type="dxa"/>
              <w:end w:w="120" w:type="dxa"/>
            </w:tcMar>
            <w:vAlign w:val="center"/>
          </w:tcPr>
          <w:p>
            <w:pPr>
              <w:spacing w:after="0"/>
            </w:pPr>
            <w:r>
              <w:rPr>
                <w:rFonts w:ascii="Calibri" w:hAnsi="Calibri"/>
                <w:color w:val="19232D"/>
                <w:sz w:val="19"/>
              </w:rPr>
              <w:t>Frontend</w:t>
            </w:r>
          </w:p>
        </w:tc>
        <w:tc>
          <w:tcPr>
            <w:tcW w:type="dxa" w:w="6560"/>
            <w:tcMar>
              <w:top w:w="80" w:type="dxa"/>
              <w:start w:w="120" w:type="dxa"/>
              <w:bottom w:w="80" w:type="dxa"/>
              <w:end w:w="120" w:type="dxa"/>
            </w:tcMar>
            <w:vAlign w:val="center"/>
          </w:tcPr>
          <w:p>
            <w:pPr>
              <w:spacing w:after="0"/>
            </w:pPr>
            <w:r>
              <w:rPr>
                <w:rFonts w:ascii="Calibri" w:hAnsi="Calibri"/>
                <w:color w:val="19232D"/>
                <w:sz w:val="19"/>
              </w:rPr>
              <w:t>Next.js and React</w:t>
            </w:r>
          </w:p>
        </w:tc>
      </w:tr>
      <w:tr>
        <w:tc>
          <w:tcPr>
            <w:tcW w:type="dxa" w:w="2800"/>
            <w:tcMar>
              <w:top w:w="80" w:type="dxa"/>
              <w:start w:w="120" w:type="dxa"/>
              <w:bottom w:w="80" w:type="dxa"/>
              <w:end w:w="120" w:type="dxa"/>
            </w:tcMar>
            <w:vAlign w:val="center"/>
          </w:tcPr>
          <w:p>
            <w:pPr>
              <w:spacing w:after="0"/>
            </w:pPr>
            <w:r>
              <w:rPr>
                <w:rFonts w:ascii="Calibri" w:hAnsi="Calibri"/>
                <w:color w:val="19232D"/>
                <w:sz w:val="19"/>
              </w:rPr>
              <w:t>Backend</w:t>
            </w:r>
          </w:p>
        </w:tc>
        <w:tc>
          <w:tcPr>
            <w:tcW w:type="dxa" w:w="6560"/>
            <w:tcMar>
              <w:top w:w="80" w:type="dxa"/>
              <w:start w:w="120" w:type="dxa"/>
              <w:bottom w:w="80" w:type="dxa"/>
              <w:end w:w="120" w:type="dxa"/>
            </w:tcMar>
            <w:vAlign w:val="center"/>
          </w:tcPr>
          <w:p>
            <w:pPr>
              <w:spacing w:after="0"/>
            </w:pPr>
            <w:r>
              <w:rPr>
                <w:rFonts w:ascii="Calibri" w:hAnsi="Calibri"/>
                <w:color w:val="19232D"/>
                <w:sz w:val="19"/>
              </w:rPr>
              <w:t>Node.js</w:t>
            </w:r>
          </w:p>
        </w:tc>
      </w:tr>
      <w:tr>
        <w:tc>
          <w:tcPr>
            <w:tcW w:type="dxa" w:w="2800"/>
            <w:tcMar>
              <w:top w:w="80" w:type="dxa"/>
              <w:start w:w="120" w:type="dxa"/>
              <w:bottom w:w="80" w:type="dxa"/>
              <w:end w:w="120" w:type="dxa"/>
            </w:tcMar>
            <w:vAlign w:val="center"/>
          </w:tcPr>
          <w:p>
            <w:pPr>
              <w:spacing w:after="0"/>
            </w:pPr>
            <w:r>
              <w:rPr>
                <w:rFonts w:ascii="Calibri" w:hAnsi="Calibri"/>
                <w:color w:val="19232D"/>
                <w:sz w:val="19"/>
              </w:rPr>
              <w:t>Database and ORM</w:t>
            </w:r>
          </w:p>
        </w:tc>
        <w:tc>
          <w:tcPr>
            <w:tcW w:type="dxa" w:w="6560"/>
            <w:tcMar>
              <w:top w:w="80" w:type="dxa"/>
              <w:start w:w="120" w:type="dxa"/>
              <w:bottom w:w="80" w:type="dxa"/>
              <w:end w:w="120" w:type="dxa"/>
            </w:tcMar>
            <w:vAlign w:val="center"/>
          </w:tcPr>
          <w:p>
            <w:pPr>
              <w:spacing w:after="0"/>
            </w:pPr>
            <w:r>
              <w:rPr>
                <w:rFonts w:ascii="Calibri" w:hAnsi="Calibri"/>
                <w:color w:val="19232D"/>
                <w:sz w:val="19"/>
              </w:rPr>
              <w:t>PostgreSQL and Prisma</w:t>
            </w:r>
          </w:p>
        </w:tc>
      </w:tr>
      <w:tr>
        <w:tc>
          <w:tcPr>
            <w:tcW w:type="dxa" w:w="2800"/>
            <w:tcMar>
              <w:top w:w="80" w:type="dxa"/>
              <w:start w:w="120" w:type="dxa"/>
              <w:bottom w:w="80" w:type="dxa"/>
              <w:end w:w="120" w:type="dxa"/>
            </w:tcMar>
            <w:vAlign w:val="center"/>
          </w:tcPr>
          <w:p>
            <w:pPr>
              <w:spacing w:after="0"/>
            </w:pPr>
            <w:r>
              <w:rPr>
                <w:rFonts w:ascii="Calibri" w:hAnsi="Calibri"/>
                <w:color w:val="19232D"/>
                <w:sz w:val="19"/>
              </w:rPr>
              <w:t>Document Processing</w:t>
            </w:r>
          </w:p>
        </w:tc>
        <w:tc>
          <w:tcPr>
            <w:tcW w:type="dxa" w:w="6560"/>
            <w:tcMar>
              <w:top w:w="80" w:type="dxa"/>
              <w:start w:w="120" w:type="dxa"/>
              <w:bottom w:w="80" w:type="dxa"/>
              <w:end w:w="120" w:type="dxa"/>
            </w:tcMar>
            <w:vAlign w:val="center"/>
          </w:tcPr>
          <w:p>
            <w:pPr>
              <w:spacing w:after="0"/>
            </w:pPr>
            <w:r>
              <w:rPr>
                <w:rFonts w:ascii="Calibri" w:hAnsi="Calibri"/>
                <w:color w:val="19232D"/>
                <w:sz w:val="19"/>
              </w:rPr>
              <w:t>PDF processing and OCR technologies</w:t>
            </w:r>
          </w:p>
        </w:tc>
      </w:tr>
      <w:tr>
        <w:tc>
          <w:tcPr>
            <w:tcW w:type="dxa" w:w="2800"/>
            <w:tcMar>
              <w:top w:w="80" w:type="dxa"/>
              <w:start w:w="120" w:type="dxa"/>
              <w:bottom w:w="80" w:type="dxa"/>
              <w:end w:w="120" w:type="dxa"/>
            </w:tcMar>
            <w:vAlign w:val="center"/>
          </w:tcPr>
          <w:p>
            <w:pPr>
              <w:spacing w:after="0"/>
            </w:pPr>
            <w:r>
              <w:rPr>
                <w:rFonts w:ascii="Calibri" w:hAnsi="Calibri"/>
                <w:color w:val="19232D"/>
                <w:sz w:val="19"/>
              </w:rPr>
              <w:t>Cloud and Hosting</w:t>
            </w:r>
          </w:p>
        </w:tc>
        <w:tc>
          <w:tcPr>
            <w:tcW w:type="dxa" w:w="6560"/>
            <w:tcMar>
              <w:top w:w="80" w:type="dxa"/>
              <w:start w:w="120" w:type="dxa"/>
              <w:bottom w:w="80" w:type="dxa"/>
              <w:end w:w="120" w:type="dxa"/>
            </w:tcMar>
            <w:vAlign w:val="center"/>
          </w:tcPr>
          <w:p>
            <w:pPr>
              <w:spacing w:after="0"/>
            </w:pPr>
            <w:r>
              <w:rPr>
                <w:rFonts w:ascii="Calibri" w:hAnsi="Calibri"/>
                <w:color w:val="19232D"/>
                <w:sz w:val="19"/>
              </w:rPr>
              <w:t>Vercel and Google Drive integration</w:t>
            </w:r>
          </w:p>
        </w:tc>
      </w:tr>
      <w:tr>
        <w:tc>
          <w:tcPr>
            <w:tcW w:type="dxa" w:w="2800"/>
            <w:tcMar>
              <w:top w:w="80" w:type="dxa"/>
              <w:start w:w="120" w:type="dxa"/>
              <w:bottom w:w="80" w:type="dxa"/>
              <w:end w:w="120" w:type="dxa"/>
            </w:tcMar>
            <w:vAlign w:val="center"/>
          </w:tcPr>
          <w:p>
            <w:pPr>
              <w:spacing w:after="0"/>
            </w:pPr>
            <w:r>
              <w:rPr>
                <w:rFonts w:ascii="Calibri" w:hAnsi="Calibri"/>
                <w:color w:val="19232D"/>
                <w:sz w:val="19"/>
              </w:rPr>
              <w:t>Authentication</w:t>
            </w:r>
          </w:p>
        </w:tc>
        <w:tc>
          <w:tcPr>
            <w:tcW w:type="dxa" w:w="6560"/>
            <w:tcMar>
              <w:top w:w="80" w:type="dxa"/>
              <w:start w:w="120" w:type="dxa"/>
              <w:bottom w:w="80" w:type="dxa"/>
              <w:end w:w="120" w:type="dxa"/>
            </w:tcMar>
            <w:vAlign w:val="center"/>
          </w:tcPr>
          <w:p>
            <w:pPr>
              <w:spacing w:after="0"/>
            </w:pPr>
            <w:r>
              <w:rPr>
                <w:rFonts w:ascii="Calibri" w:hAnsi="Calibri"/>
                <w:color w:val="19232D"/>
                <w:sz w:val="19"/>
              </w:rPr>
              <w:t>JWT and Google Authentication</w:t>
            </w:r>
          </w:p>
        </w:tc>
      </w:tr>
    </w:tbl>
    <w:p>
      <w:pPr>
        <w:spacing w:after="80"/>
      </w:pPr>
    </w:p>
    <w:p>
      <w:pPr>
        <w:pStyle w:val="Heading1"/>
        <w:keepNext/>
      </w:pPr>
      <w:r>
        <w:rPr>
          <w:rFonts w:ascii="Calibri" w:hAnsi="Calibri"/>
          <w:b/>
          <w:color w:val="2E74B5"/>
          <w:sz w:val="32"/>
        </w:rPr>
        <w:t>Business Benefits</w:t>
      </w:r>
    </w:p>
    <w:p>
      <w:pPr>
        <w:pStyle w:val="ListBullet"/>
        <w:spacing w:after="80" w:line="280" w:lineRule="auto"/>
      </w:pPr>
      <w:r>
        <w:rPr>
          <w:rFonts w:ascii="Calibri" w:hAnsi="Calibri"/>
          <w:color w:val="19232D"/>
          <w:sz w:val="21"/>
        </w:rPr>
        <w:t>Faster policy processing with reduced paperwork and fewer fragmented records.</w:t>
      </w:r>
    </w:p>
    <w:p>
      <w:pPr>
        <w:pStyle w:val="ListBullet"/>
        <w:spacing w:after="80" w:line="280" w:lineRule="auto"/>
      </w:pPr>
      <w:r>
        <w:rPr>
          <w:rFonts w:ascii="Calibri" w:hAnsi="Calibri"/>
          <w:color w:val="19232D"/>
          <w:sz w:val="21"/>
        </w:rPr>
        <w:t>Improved renewal retention through structured tracking and reminders.</w:t>
      </w:r>
    </w:p>
    <w:p>
      <w:pPr>
        <w:pStyle w:val="ListBullet"/>
        <w:spacing w:after="80" w:line="280" w:lineRule="auto"/>
      </w:pPr>
      <w:r>
        <w:rPr>
          <w:rFonts w:ascii="Calibri" w:hAnsi="Calibri"/>
          <w:color w:val="19232D"/>
          <w:sz w:val="21"/>
        </w:rPr>
        <w:t>Better customer management with centralized profiles, documents, and policy history.</w:t>
      </w:r>
    </w:p>
    <w:p>
      <w:pPr>
        <w:pStyle w:val="ListBullet"/>
        <w:spacing w:after="80" w:line="280" w:lineRule="auto"/>
      </w:pPr>
      <w:r>
        <w:rPr>
          <w:rFonts w:ascii="Calibri" w:hAnsi="Calibri"/>
          <w:color w:val="19232D"/>
          <w:sz w:val="21"/>
        </w:rPr>
        <w:t>More efficient claims handling, endorsements, reporting, and team visibility.</w:t>
      </w:r>
    </w:p>
    <w:p>
      <w:pPr>
        <w:pStyle w:val="ListBullet"/>
        <w:spacing w:after="80" w:line="280" w:lineRule="auto"/>
      </w:pPr>
      <w:r>
        <w:rPr>
          <w:rFonts w:ascii="Calibri" w:hAnsi="Calibri"/>
          <w:color w:val="19232D"/>
          <w:sz w:val="21"/>
        </w:rPr>
        <w:t>Scalable digital infrastructure that supports growth, compliance, and customer experience.</w:t>
      </w:r>
    </w:p>
    <w:p>
      <w:pPr>
        <w:pStyle w:val="Heading1"/>
        <w:keepNext/>
      </w:pPr>
      <w:r>
        <w:rPr>
          <w:rFonts w:ascii="Calibri" w:hAnsi="Calibri"/>
          <w:b/>
          <w:color w:val="2E74B5"/>
          <w:sz w:val="32"/>
        </w:rPr>
        <w:t>Future Roadmap</w:t>
      </w:r>
    </w:p>
    <w:tbl>
      <w:tblPr>
        <w:tblW w:type="dxa" w:w="9360"/>
        <w:tblLayout w:type="fixed"/>
        <w:tblLook w:firstColumn="1" w:firstRow="1" w:lastColumn="0" w:lastRow="0" w:noHBand="0" w:noVBand="1" w:val="04A0"/>
        <w:jc w:val="left"/>
        <w:tblInd w:type="dxa" w:w="12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000"/>
        <w:gridCol w:w="6360"/>
      </w:tblGrid>
      <w:tr>
        <w:trPr>
          <w:tblHeader w:val="true"/>
        </w:trPr>
        <w:tc>
          <w:tcPr>
            <w:tcW w:type="dxa" w:w="3000"/>
            <w:tcMar>
              <w:top w:w="80" w:type="dxa"/>
              <w:start w:w="120" w:type="dxa"/>
              <w:bottom w:w="80" w:type="dxa"/>
              <w:end w:w="120" w:type="dxa"/>
            </w:tcMar>
            <w:vAlign w:val="center"/>
            <w:shd w:fill="F2F4F7"/>
          </w:tcPr>
          <w:p>
            <w:pPr>
              <w:spacing w:after="0"/>
            </w:pPr>
            <w:r>
              <w:rPr>
                <w:rFonts w:ascii="Calibri" w:hAnsi="Calibri"/>
                <w:b/>
                <w:color w:val="1F4D78"/>
                <w:sz w:val="20"/>
              </w:rPr>
              <w:t>Roadmap Theme</w:t>
            </w:r>
          </w:p>
        </w:tc>
        <w:tc>
          <w:tcPr>
            <w:tcW w:type="dxa" w:w="6360"/>
            <w:tcMar>
              <w:top w:w="80" w:type="dxa"/>
              <w:start w:w="120" w:type="dxa"/>
              <w:bottom w:w="80" w:type="dxa"/>
              <w:end w:w="120" w:type="dxa"/>
            </w:tcMar>
            <w:vAlign w:val="center"/>
            <w:shd w:fill="F2F4F7"/>
          </w:tcPr>
          <w:p>
            <w:pPr>
              <w:spacing w:after="0"/>
            </w:pPr>
            <w:r>
              <w:rPr>
                <w:rFonts w:ascii="Calibri" w:hAnsi="Calibri"/>
                <w:b/>
                <w:color w:val="1F4D78"/>
                <w:sz w:val="20"/>
              </w:rPr>
              <w:t>Planned Enhancements</w:t>
            </w:r>
          </w:p>
        </w:tc>
      </w:tr>
      <w:tr>
        <w:tc>
          <w:tcPr>
            <w:tcW w:type="dxa" w:w="3000"/>
            <w:tcMar>
              <w:top w:w="80" w:type="dxa"/>
              <w:start w:w="120" w:type="dxa"/>
              <w:bottom w:w="80" w:type="dxa"/>
              <w:end w:w="120" w:type="dxa"/>
            </w:tcMar>
            <w:vAlign w:val="center"/>
          </w:tcPr>
          <w:p>
            <w:pPr>
              <w:spacing w:after="0"/>
            </w:pPr>
            <w:r>
              <w:rPr>
                <w:rFonts w:ascii="Calibri" w:hAnsi="Calibri"/>
                <w:color w:val="19232D"/>
                <w:sz w:val="19"/>
              </w:rPr>
              <w:t>Customer and agent mobility</w:t>
            </w:r>
          </w:p>
        </w:tc>
        <w:tc>
          <w:tcPr>
            <w:tcW w:type="dxa" w:w="6360"/>
            <w:tcMar>
              <w:top w:w="80" w:type="dxa"/>
              <w:start w:w="120" w:type="dxa"/>
              <w:bottom w:w="80" w:type="dxa"/>
              <w:end w:w="120" w:type="dxa"/>
            </w:tcMar>
            <w:vAlign w:val="center"/>
          </w:tcPr>
          <w:p>
            <w:pPr>
              <w:spacing w:after="0"/>
            </w:pPr>
            <w:r>
              <w:rPr>
                <w:rFonts w:ascii="Calibri" w:hAnsi="Calibri"/>
                <w:color w:val="19232D"/>
                <w:sz w:val="19"/>
              </w:rPr>
              <w:t>Mobile application and customer self-service portal</w:t>
            </w:r>
          </w:p>
        </w:tc>
      </w:tr>
      <w:tr>
        <w:tc>
          <w:tcPr>
            <w:tcW w:type="dxa" w:w="3000"/>
            <w:tcMar>
              <w:top w:w="80" w:type="dxa"/>
              <w:start w:w="120" w:type="dxa"/>
              <w:bottom w:w="80" w:type="dxa"/>
              <w:end w:w="120" w:type="dxa"/>
            </w:tcMar>
            <w:vAlign w:val="center"/>
          </w:tcPr>
          <w:p>
            <w:pPr>
              <w:spacing w:after="0"/>
            </w:pPr>
            <w:r>
              <w:rPr>
                <w:rFonts w:ascii="Calibri" w:hAnsi="Calibri"/>
                <w:color w:val="19232D"/>
                <w:sz w:val="19"/>
              </w:rPr>
              <w:t>AI-assisted operations</w:t>
            </w:r>
          </w:p>
        </w:tc>
        <w:tc>
          <w:tcPr>
            <w:tcW w:type="dxa" w:w="6360"/>
            <w:tcMar>
              <w:top w:w="80" w:type="dxa"/>
              <w:start w:w="120" w:type="dxa"/>
              <w:bottom w:w="80" w:type="dxa"/>
              <w:end w:w="120" w:type="dxa"/>
            </w:tcMar>
            <w:vAlign w:val="center"/>
          </w:tcPr>
          <w:p>
            <w:pPr>
              <w:spacing w:after="0"/>
            </w:pPr>
            <w:r>
              <w:rPr>
                <w:rFonts w:ascii="Calibri" w:hAnsi="Calibri"/>
                <w:color w:val="19232D"/>
                <w:sz w:val="19"/>
              </w:rPr>
              <w:t>AI assistant, advanced OCR intelligence, AI business analytics, predictive renewal intelligence, conversational AI support</w:t>
            </w:r>
          </w:p>
        </w:tc>
      </w:tr>
      <w:tr>
        <w:tc>
          <w:tcPr>
            <w:tcW w:type="dxa" w:w="3000"/>
            <w:tcMar>
              <w:top w:w="80" w:type="dxa"/>
              <w:start w:w="120" w:type="dxa"/>
              <w:bottom w:w="80" w:type="dxa"/>
              <w:end w:w="120" w:type="dxa"/>
            </w:tcMar>
            <w:vAlign w:val="center"/>
          </w:tcPr>
          <w:p>
            <w:pPr>
              <w:spacing w:after="0"/>
            </w:pPr>
            <w:r>
              <w:rPr>
                <w:rFonts w:ascii="Calibri" w:hAnsi="Calibri"/>
                <w:color w:val="19232D"/>
                <w:sz w:val="19"/>
              </w:rPr>
              <w:t>Digital transaction layer</w:t>
            </w:r>
          </w:p>
        </w:tc>
        <w:tc>
          <w:tcPr>
            <w:tcW w:type="dxa" w:w="6360"/>
            <w:tcMar>
              <w:top w:w="80" w:type="dxa"/>
              <w:start w:w="120" w:type="dxa"/>
              <w:bottom w:w="80" w:type="dxa"/>
              <w:end w:w="120" w:type="dxa"/>
            </w:tcMar>
            <w:vAlign w:val="center"/>
          </w:tcPr>
          <w:p>
            <w:pPr>
              <w:spacing w:after="0"/>
            </w:pPr>
            <w:r>
              <w:rPr>
                <w:rFonts w:ascii="Calibri" w:hAnsi="Calibri"/>
                <w:color w:val="19232D"/>
                <w:sz w:val="19"/>
              </w:rPr>
              <w:t>Payment gateway integration and digital signatures</w:t>
            </w:r>
          </w:p>
        </w:tc>
      </w:tr>
      <w:tr>
        <w:tc>
          <w:tcPr>
            <w:tcW w:type="dxa" w:w="3000"/>
            <w:tcMar>
              <w:top w:w="80" w:type="dxa"/>
              <w:start w:w="120" w:type="dxa"/>
              <w:bottom w:w="80" w:type="dxa"/>
              <w:end w:w="120" w:type="dxa"/>
            </w:tcMar>
            <w:vAlign w:val="center"/>
          </w:tcPr>
          <w:p>
            <w:pPr>
              <w:spacing w:after="0"/>
            </w:pPr>
            <w:r>
              <w:rPr>
                <w:rFonts w:ascii="Calibri" w:hAnsi="Calibri"/>
                <w:color w:val="19232D"/>
                <w:sz w:val="19"/>
              </w:rPr>
              <w:t>Ecosystem connectivity</w:t>
            </w:r>
          </w:p>
        </w:tc>
        <w:tc>
          <w:tcPr>
            <w:tcW w:type="dxa" w:w="6360"/>
            <w:tcMar>
              <w:top w:w="80" w:type="dxa"/>
              <w:start w:w="120" w:type="dxa"/>
              <w:bottom w:w="80" w:type="dxa"/>
              <w:end w:w="120" w:type="dxa"/>
            </w:tcMar>
            <w:vAlign w:val="center"/>
          </w:tcPr>
          <w:p>
            <w:pPr>
              <w:spacing w:after="0"/>
            </w:pPr>
            <w:r>
              <w:rPr>
                <w:rFonts w:ascii="Calibri" w:hAnsi="Calibri"/>
                <w:color w:val="19232D"/>
                <w:sz w:val="19"/>
              </w:rPr>
              <w:t>Third-party API integrations and voice commands</w:t>
            </w:r>
          </w:p>
        </w:tc>
      </w:tr>
    </w:tbl>
    <w:p>
      <w:pPr>
        <w:spacing w:after="80"/>
      </w:pPr>
    </w:p>
    <w:p>
      <w:pPr>
        <w:pStyle w:val="Heading1"/>
        <w:keepNext/>
      </w:pPr>
      <w:r>
        <w:rPr>
          <w:rFonts w:ascii="Calibri" w:hAnsi="Calibri"/>
          <w:b/>
          <w:color w:val="2E74B5"/>
          <w:sz w:val="32"/>
        </w:rPr>
        <w:t>Conclusion</w:t>
      </w:r>
    </w:p>
    <w:p>
      <w:pPr>
        <w:spacing w:before="0" w:after="120" w:line="264" w:lineRule="auto"/>
      </w:pPr>
      <w:r>
        <w:rPr>
          <w:rFonts w:ascii="Calibri" w:hAnsi="Calibri"/>
          <w:b w:val="0"/>
          <w:i w:val="0"/>
          <w:color w:val="19232D"/>
          <w:sz w:val="22"/>
        </w:rPr>
        <w:t>BimaHeadquarter is designed to modernize insurance operations by combining customer management, policy administration, automation, reporting, and intelligent document processing into a single platform. Its scalable architecture and operational focus make it a strong solution for insurance agencies and organizations seeking better productivity, customer satisfaction, and long-term business growth.</w:t>
      </w:r>
    </w:p>
    <w:p>
      <w:pPr>
        <w:spacing w:before="0" w:after="120" w:line="264" w:lineRule="auto"/>
      </w:pPr>
      <w:r>
        <w:rPr>
          <w:rFonts w:ascii="Calibri" w:hAnsi="Calibri"/>
          <w:b w:val="0"/>
          <w:i w:val="0"/>
          <w:color w:val="19232D"/>
          <w:sz w:val="22"/>
        </w:rPr>
        <w:t>By simplifying complex insurance workflows and enabling data-driven decision-making, BimaHeadquarter helps insurance professionals spend less time on administration and more time delivering value to customers.</w:t>
      </w:r>
    </w:p>
    <w:p>
      <w:pPr>
        <w:sectPr>
          <w:headerReference w:type="default" r:id="rId9"/>
          <w:footerReference w:type="default" r:id="rId10"/>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0"/>
        <w:sz w:val="17"/>
      </w:rPr>
      <w:t>Powered by InsureDesk IMF Pvt.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color w:val="5C6670"/>
        <w:sz w:val="18"/>
      </w:rPr>
      <w:t>BimaHeadquarter CRM | Business &amp; Product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