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Mr. Fakhrul Alam</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3/1A, 3/1B, 3A – Segunbagicha, Avoi Das Lane, Tikatuli, Dhaka</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01785210101</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AVP, Institutional Banking Division</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Midland Bank Limited, Gulshan Branch, Dhaka</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02-9876543</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42</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A12345678</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Official Business Travel</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15 April 2026</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14 days</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Singapore (3 days), Hong Kong (4 days), Tokyo (5 days), Seoul (2 days)</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t>Dr. Anwar Hossain, MBBS, FCPS</w:t>
              <w:br/>
              <w:t>Square Hospital, Dhaka – Reg No: BMDC-12345</w:t>
              <w:br/>
              <w:t>02-8159457 (Chamber)</w:t>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Yes</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No</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No</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No</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Seasonal flu – paracetamol prescribed</w:t>
            </w:r>
          </w:p>
        </w:tc>
        <w:tc>
          <w:tcPr>
            <w:tcW w:type="dxa" w:w="3009"/>
            <w:shd w:val="clear" w:color="auto" w:fill="E9EFF7"/>
          </w:tcPr>
          <w:p>
            <w:pPr>
              <w:spacing w:before="40" w:after="40"/>
            </w:pPr>
            <w:r>
              <w:rPr>
                <w:rFonts w:ascii="Times New Roman" w:hAnsi="Times New Roman"/>
                <w:b w:val="0"/>
                <w:i w:val="0"/>
                <w:sz w:val="22"/>
              </w:rPr>
              <w:t>Jan 2025</w:t>
            </w:r>
          </w:p>
        </w:tc>
        <w:tc>
          <w:tcPr>
            <w:tcW w:type="dxa" w:w="3009"/>
            <w:shd w:val="clear" w:color="auto" w:fill="E9EFF7"/>
          </w:tcPr>
          <w:p>
            <w:pPr>
              <w:spacing w:before="40" w:after="40"/>
            </w:pPr>
            <w:r>
              <w:rPr>
                <w:rFonts w:ascii="Times New Roman" w:hAnsi="Times New Roman"/>
                <w:b w:val="0"/>
                <w:i w:val="0"/>
                <w:sz w:val="22"/>
              </w:rPr>
              <w:t>Dr. Karim, Dhaka Medical College, 01712-000000</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Nil</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t>Mr. Fakhrul Alam</w:t>
            </w:r>
          </w:p>
        </w:tc>
        <w:tc>
          <w:tcPr>
            <w:tcW w:type="dxa" w:w="3009"/>
            <w:shd w:val="clear" w:color="auto" w:fill="F0F4FB"/>
          </w:tcPr>
          <w:p>
            <w:pPr>
              <w:spacing w:before="600" w:after="40"/>
            </w:pPr>
            <w:r>
              <w:rPr>
                <w:rFonts w:ascii="Times New Roman" w:hAnsi="Times New Roman"/>
                <w:b w:val="0"/>
                <w:i w:val="0"/>
                <w:sz w:val="22"/>
              </w:rPr>
              <w:t>Dhaka, Bangladesh</w:t>
            </w:r>
          </w:p>
        </w:tc>
        <w:tc>
          <w:tcPr>
            <w:tcW w:type="dxa" w:w="3009"/>
            <w:shd w:val="clear" w:color="auto" w:fill="F0F4FB"/>
          </w:tcPr>
          <w:p>
            <w:pPr>
              <w:spacing w:before="600" w:after="40"/>
            </w:pPr>
            <w:r>
              <w:rPr>
                <w:rFonts w:ascii="Times New Roman" w:hAnsi="Times New Roman"/>
                <w:b w:val="0"/>
                <w:i w:val="0"/>
                <w:sz w:val="22"/>
              </w:rPr>
              <w:t>23 / 03 / 26</w:t>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OMP-20260323-001   |   Generated: 23 Mar 2026 19:38 UTC</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