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line="240" w:lineRule="auto"/>
              <w:jc w:val="left"/>
            </w:pPr>
            <w:r>
              <w:rPr>
                <w:rFonts w:ascii="Times New Roman" w:hAnsi="Times New Roman"/>
                <w:b/>
                <w:i w:val="0"/>
                <w:color w:val="1F3864"/>
                <w:sz w:val="38"/>
              </w:rPr>
              <w:t>PRAGATI INSURANCE PLC</w:t>
            </w:r>
          </w:p>
          <w:p>
            <w:pPr>
              <w:spacing w:before="0" w:after="0" w:line="240" w:lineRule="auto"/>
              <w:jc w:val="left"/>
            </w:pPr>
            <w:r>
              <w:rPr>
                <w:rFonts w:ascii="Times New Roman" w:hAnsi="Times New Roman"/>
                <w:b w:val="0"/>
                <w:i w:val="0"/>
                <w:sz w:val="18"/>
              </w:rPr>
              <w:t>20-21 Kawran Bazar, Dhaka-1215  |  Tel: 9133680-2  |  Fax: 880-2-55013694</w:t>
            </w:r>
          </w:p>
          <w:p>
            <w:pPr>
              <w:spacing w:before="0" w:after="0" w:line="240" w:lineRule="auto"/>
              <w:jc w:val="left"/>
            </w:pPr>
            <w:r>
              <w:rPr>
                <w:rFonts w:ascii="Times New Roman" w:hAnsi="Times New Roman"/>
                <w:b w:val="0"/>
                <w:i w:val="0"/>
                <w:sz w:val="18"/>
              </w:rPr>
              <w:t>info@pragatiinsurance.com  |  www.pragatiinsurance.com</w:t>
            </w:r>
          </w:p>
        </w:tc>
      </w:tr>
    </w:tbl>
    <w:p>
      <w:pPr>
        <w:spacing w:before="40" w:after="40" w:line="240" w:lineRule="auto"/>
        <w:jc w:val="left"/>
        <w:pBdr>
          <w:bottom w:val="single" w:sz="6" w:space="1" w:color="1F3864"/>
        </w:pBdr>
      </w:pPr>
    </w:p>
    <w:p>
      <w:pPr>
        <w:spacing w:before="120" w:after="40" w:line="240" w:lineRule="auto"/>
        <w:jc w:val="center"/>
      </w:pPr>
      <w:r>
        <w:rPr>
          <w:rFonts w:ascii="Times New Roman" w:hAnsi="Times New Roman"/>
          <w:b/>
          <w:i w:val="0"/>
          <w:color w:val="1F3864"/>
          <w:sz w:val="28"/>
        </w:rPr>
        <w:t>GROUP LIFE &amp; HEALTH INSURANCE — FINANCIAL PROPOSAL</w:t>
      </w:r>
    </w:p>
    <w:p>
      <w:pPr>
        <w:spacing w:before="0" w:after="80" w:line="240" w:lineRule="auto"/>
        <w:jc w:val="center"/>
      </w:pPr>
      <w:r>
        <w:rPr>
          <w:rFonts w:ascii="Times New Roman" w:hAnsi="Times New Roman"/>
          <w:b/>
          <w:i w:val="0"/>
          <w:sz w:val="22"/>
        </w:rPr>
        <w:t>Prepared for: Shanta Holdings Ltd.   |   Date: 24 Mar 2026</w:t>
      </w: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I.  CLIENT / GROUP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20"/>
            <w:shd w:val="clear" w:color="auto" w:fill="E9EFF7"/>
            <w:vAlign w:val="top"/>
          </w:tcPr>
          <w:p>
            <w:pPr>
              <w:spacing w:before="40" w:after="40"/>
            </w:pPr>
            <w:r>
              <w:rPr>
                <w:rFonts w:ascii="Times New Roman" w:hAnsi="Times New Roman"/>
                <w:b w:val="0"/>
                <w:i w:val="0"/>
                <w:sz w:val="22"/>
              </w:rPr>
              <w:t>Company / Organization Name</w:t>
            </w:r>
          </w:p>
        </w:tc>
        <w:tc>
          <w:tcPr>
            <w:tcW w:type="dxa" w:w="4478"/>
            <w:shd w:val="clear" w:color="auto" w:fill="E9EFF7"/>
            <w:vAlign w:val="top"/>
          </w:tcPr>
          <w:p>
            <w:pPr>
              <w:spacing w:before="40" w:after="40"/>
            </w:pPr>
            <w:r>
              <w:rPr>
                <w:rFonts w:ascii="Times New Roman" w:hAnsi="Times New Roman"/>
                <w:b w:val="0"/>
                <w:i w:val="0"/>
                <w:sz w:val="22"/>
              </w:rPr>
              <w:t>Shanta Holdings Ltd.</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20"/>
            <w:shd w:val="clear" w:color="auto" w:fill="FFFFFF"/>
            <w:vAlign w:val="top"/>
          </w:tcPr>
          <w:p>
            <w:pPr>
              <w:spacing w:before="40" w:after="40"/>
            </w:pPr>
            <w:r>
              <w:rPr>
                <w:rFonts w:ascii="Times New Roman" w:hAnsi="Times New Roman"/>
                <w:b w:val="0"/>
                <w:i w:val="0"/>
                <w:sz w:val="22"/>
              </w:rPr>
              <w:t>Company Registration No.</w:t>
            </w:r>
          </w:p>
        </w:tc>
        <w:tc>
          <w:tcPr>
            <w:tcW w:type="dxa" w:w="4478"/>
            <w:shd w:val="clear" w:color="auto" w:fill="FFFFFF"/>
            <w:vAlign w:val="top"/>
          </w:tcPr>
          <w:p>
            <w:pPr>
              <w:spacing w:before="40" w:after="40"/>
            </w:pPr>
            <w:r>
              <w:rPr>
                <w:rFonts w:ascii="Times New Roman" w:hAnsi="Times New Roman"/>
                <w:b w:val="0"/>
                <w:i w:val="0"/>
                <w:sz w:val="22"/>
              </w:rPr>
              <w:t>CRN-1998-SHANTA</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20"/>
            <w:shd w:val="clear" w:color="auto" w:fill="E9EFF7"/>
            <w:vAlign w:val="top"/>
          </w:tcPr>
          <w:p>
            <w:pPr>
              <w:spacing w:before="40" w:after="40"/>
            </w:pPr>
            <w:r>
              <w:rPr>
                <w:rFonts w:ascii="Times New Roman" w:hAnsi="Times New Roman"/>
                <w:b w:val="0"/>
                <w:i w:val="0"/>
                <w:sz w:val="22"/>
              </w:rPr>
              <w:t>Industry / Sector</w:t>
            </w:r>
          </w:p>
        </w:tc>
        <w:tc>
          <w:tcPr>
            <w:tcW w:type="dxa" w:w="4478"/>
            <w:shd w:val="clear" w:color="auto" w:fill="E9EFF7"/>
            <w:vAlign w:val="top"/>
          </w:tcPr>
          <w:p>
            <w:pPr>
              <w:spacing w:before="40" w:after="40"/>
            </w:pPr>
            <w:r>
              <w:rPr>
                <w:rFonts w:ascii="Times New Roman" w:hAnsi="Times New Roman"/>
                <w:b w:val="0"/>
                <w:i w:val="0"/>
                <w:sz w:val="22"/>
              </w:rPr>
              <w:t>Real Estate &amp; Construction</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20"/>
            <w:shd w:val="clear" w:color="auto" w:fill="FFFFFF"/>
            <w:vAlign w:val="top"/>
          </w:tcPr>
          <w:p>
            <w:pPr>
              <w:spacing w:before="40" w:after="40"/>
            </w:pPr>
            <w:r>
              <w:rPr>
                <w:rFonts w:ascii="Times New Roman" w:hAnsi="Times New Roman"/>
                <w:b w:val="0"/>
                <w:i w:val="0"/>
                <w:sz w:val="22"/>
              </w:rPr>
              <w:t>Contact Person &amp; Designation</w:t>
            </w:r>
          </w:p>
        </w:tc>
        <w:tc>
          <w:tcPr>
            <w:tcW w:type="dxa" w:w="4478"/>
            <w:shd w:val="clear" w:color="auto" w:fill="FFFFFF"/>
            <w:vAlign w:val="top"/>
          </w:tcPr>
          <w:p>
            <w:pPr>
              <w:spacing w:before="40" w:after="40"/>
            </w:pPr>
            <w:r>
              <w:rPr>
                <w:rFonts w:ascii="Times New Roman" w:hAnsi="Times New Roman"/>
                <w:b w:val="0"/>
                <w:i w:val="0"/>
                <w:sz w:val="22"/>
              </w:rPr>
              <w:t>Mr. Arif Rahman, CFO</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20"/>
            <w:shd w:val="clear" w:color="auto" w:fill="E9EFF7"/>
            <w:vAlign w:val="top"/>
          </w:tcPr>
          <w:p>
            <w:pPr>
              <w:spacing w:before="40" w:after="40"/>
            </w:pPr>
            <w:r>
              <w:rPr>
                <w:rFonts w:ascii="Times New Roman" w:hAnsi="Times New Roman"/>
                <w:b w:val="0"/>
                <w:i w:val="0"/>
                <w:sz w:val="22"/>
              </w:rPr>
              <w:t>Contact Phone &amp; Email</w:t>
            </w:r>
          </w:p>
        </w:tc>
        <w:tc>
          <w:tcPr>
            <w:tcW w:type="dxa" w:w="4478"/>
            <w:shd w:val="clear" w:color="auto" w:fill="E9EFF7"/>
            <w:vAlign w:val="top"/>
          </w:tcPr>
          <w:p>
            <w:pPr>
              <w:spacing w:before="40" w:after="40"/>
            </w:pPr>
            <w:r>
              <w:rPr>
                <w:rFonts w:ascii="Times New Roman" w:hAnsi="Times New Roman"/>
                <w:b w:val="0"/>
                <w:i w:val="0"/>
                <w:sz w:val="22"/>
              </w:rPr>
              <w:t>01700000001 | arif@shanta.com</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20"/>
            <w:shd w:val="clear" w:color="auto" w:fill="FFFFFF"/>
            <w:vAlign w:val="top"/>
          </w:tcPr>
          <w:p>
            <w:pPr>
              <w:spacing w:before="40" w:after="40"/>
            </w:pPr>
            <w:r>
              <w:rPr>
                <w:rFonts w:ascii="Times New Roman" w:hAnsi="Times New Roman"/>
                <w:b w:val="0"/>
                <w:i w:val="0"/>
                <w:sz w:val="22"/>
              </w:rPr>
              <w:t>Total Employees to be Covered</w:t>
            </w:r>
          </w:p>
        </w:tc>
        <w:tc>
          <w:tcPr>
            <w:tcW w:type="dxa" w:w="4478"/>
            <w:shd w:val="clear" w:color="auto" w:fill="FFFFFF"/>
            <w:vAlign w:val="top"/>
          </w:tcPr>
          <w:p>
            <w:pPr>
              <w:spacing w:before="40" w:after="40"/>
            </w:pPr>
            <w:r>
              <w:rPr>
                <w:rFonts w:ascii="Times New Roman" w:hAnsi="Times New Roman"/>
                <w:b w:val="0"/>
                <w:i w:val="0"/>
                <w:sz w:val="22"/>
              </w:rPr>
              <w:t>350</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20"/>
            <w:shd w:val="clear" w:color="auto" w:fill="E9EFF7"/>
            <w:vAlign w:val="top"/>
          </w:tcPr>
          <w:p>
            <w:pPr>
              <w:spacing w:before="40" w:after="40"/>
            </w:pPr>
            <w:r>
              <w:rPr>
                <w:rFonts w:ascii="Times New Roman" w:hAnsi="Times New Roman"/>
                <w:b w:val="0"/>
                <w:i w:val="0"/>
                <w:sz w:val="22"/>
              </w:rPr>
              <w:t>Average Age of Workforce</w:t>
            </w:r>
          </w:p>
        </w:tc>
        <w:tc>
          <w:tcPr>
            <w:tcW w:type="dxa" w:w="4478"/>
            <w:shd w:val="clear" w:color="auto" w:fill="E9EFF7"/>
            <w:vAlign w:val="top"/>
          </w:tcPr>
          <w:p>
            <w:pPr>
              <w:spacing w:before="40" w:after="40"/>
            </w:pPr>
            <w:r>
              <w:rPr>
                <w:rFonts w:ascii="Times New Roman" w:hAnsi="Times New Roman"/>
                <w:b w:val="0"/>
                <w:i w:val="0"/>
                <w:sz w:val="22"/>
              </w:rPr>
              <w:t>34 years</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20"/>
            <w:shd w:val="clear" w:color="auto" w:fill="FFFFFF"/>
            <w:vAlign w:val="top"/>
          </w:tcPr>
          <w:p>
            <w:pPr>
              <w:spacing w:before="40" w:after="40"/>
            </w:pPr>
            <w:r>
              <w:rPr>
                <w:rFonts w:ascii="Times New Roman" w:hAnsi="Times New Roman"/>
                <w:b w:val="0"/>
                <w:i w:val="0"/>
                <w:sz w:val="22"/>
              </w:rPr>
              <w:t>Male / Female Split</w:t>
            </w:r>
          </w:p>
        </w:tc>
        <w:tc>
          <w:tcPr>
            <w:tcW w:type="dxa" w:w="4478"/>
            <w:shd w:val="clear" w:color="auto" w:fill="FFFFFF"/>
            <w:vAlign w:val="top"/>
          </w:tcPr>
          <w:p>
            <w:pPr>
              <w:spacing w:before="40" w:after="40"/>
            </w:pPr>
            <w:r>
              <w:rPr>
                <w:rFonts w:ascii="Times New Roman" w:hAnsi="Times New Roman"/>
                <w:b w:val="0"/>
                <w:i w:val="0"/>
                <w:sz w:val="22"/>
              </w:rPr>
              <w:t>70% Male / 30% Female</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II.  PROPOSED COVERAGE STRUCTURE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440"/>
            <w:shd w:val="clear" w:color="auto" w:fill="1F3864"/>
          </w:tcPr>
          <w:p>
            <w:pPr>
              <w:spacing w:before="60" w:after="60" w:line="240" w:lineRule="auto"/>
              <w:jc w:val="left"/>
            </w:pPr>
            <w:r>
              <w:rPr>
                <w:rFonts w:ascii="Times New Roman" w:hAnsi="Times New Roman"/>
                <w:b/>
                <w:i w:val="0"/>
                <w:color w:val="FFFFFF"/>
                <w:sz w:val="20"/>
              </w:rPr>
              <w:t>Coverage Section</w:t>
            </w:r>
          </w:p>
        </w:tc>
        <w:tc>
          <w:tcPr>
            <w:tcW w:type="dxa" w:w="2880"/>
            <w:shd w:val="clear" w:color="auto" w:fill="1F3864"/>
          </w:tcPr>
          <w:p>
            <w:pPr>
              <w:spacing w:before="60" w:after="60" w:line="240" w:lineRule="auto"/>
              <w:jc w:val="left"/>
            </w:pPr>
            <w:r>
              <w:rPr>
                <w:rFonts w:ascii="Times New Roman" w:hAnsi="Times New Roman"/>
                <w:b/>
                <w:i w:val="0"/>
                <w:color w:val="FFFFFF"/>
                <w:sz w:val="20"/>
              </w:rPr>
              <w:t>Benefit Description</w:t>
            </w:r>
          </w:p>
        </w:tc>
        <w:tc>
          <w:tcPr>
            <w:tcW w:type="dxa" w:w="1670"/>
            <w:shd w:val="clear" w:color="auto" w:fill="1F3864"/>
          </w:tcPr>
          <w:p>
            <w:pPr>
              <w:spacing w:before="60" w:after="60" w:line="240" w:lineRule="auto"/>
              <w:jc w:val="left"/>
            </w:pPr>
            <w:r>
              <w:rPr>
                <w:rFonts w:ascii="Times New Roman" w:hAnsi="Times New Roman"/>
                <w:b/>
                <w:i w:val="0"/>
                <w:color w:val="FFFFFF"/>
                <w:sz w:val="20"/>
              </w:rPr>
              <w:t>Sum Insured (Tk.)</w:t>
            </w:r>
          </w:p>
        </w:tc>
        <w:tc>
          <w:tcPr>
            <w:tcW w:type="dxa" w:w="1440"/>
            <w:shd w:val="clear" w:color="auto" w:fill="1F3864"/>
          </w:tcPr>
          <w:p>
            <w:pPr>
              <w:spacing w:before="60" w:after="60" w:line="240" w:lineRule="auto"/>
              <w:jc w:val="left"/>
            </w:pPr>
            <w:r>
              <w:rPr>
                <w:rFonts w:ascii="Times New Roman" w:hAnsi="Times New Roman"/>
                <w:b/>
                <w:i w:val="0"/>
                <w:color w:val="FFFFFF"/>
                <w:sz w:val="20"/>
              </w:rPr>
              <w:t>Premium Rate</w:t>
            </w:r>
          </w:p>
        </w:tc>
        <w:tc>
          <w:tcPr>
            <w:tcW w:type="dxa" w:w="1872"/>
            <w:shd w:val="clear" w:color="auto" w:fill="1F3864"/>
          </w:tcPr>
          <w:p>
            <w:pPr>
              <w:spacing w:before="60" w:after="60" w:line="240" w:lineRule="auto"/>
              <w:jc w:val="left"/>
            </w:pPr>
            <w:r>
              <w:rPr>
                <w:rFonts w:ascii="Times New Roman" w:hAnsi="Times New Roman"/>
                <w:b/>
                <w:i w:val="0"/>
                <w:color w:val="FFFFFF"/>
                <w:sz w:val="20"/>
              </w:rPr>
              <w:t>Annual Premium (Tk.)</w:t>
            </w:r>
          </w:p>
        </w:tc>
      </w:tr>
      <w:tr>
        <w:tc>
          <w:tcPr>
            <w:tcW w:type="dxa" w:w="1440"/>
            <w:shd w:val="clear" w:color="auto" w:fill="E9EFF7"/>
          </w:tcPr>
          <w:p>
            <w:pPr>
              <w:spacing w:before="40" w:after="40" w:line="240" w:lineRule="auto"/>
              <w:jc w:val="left"/>
            </w:pPr>
            <w:r>
              <w:rPr>
                <w:rFonts w:ascii="Times New Roman" w:hAnsi="Times New Roman"/>
                <w:b w:val="0"/>
                <w:i w:val="0"/>
                <w:sz w:val="22"/>
              </w:rPr>
              <w:t>Group Life</w:t>
            </w:r>
          </w:p>
        </w:tc>
        <w:tc>
          <w:tcPr>
            <w:tcW w:type="dxa" w:w="2880"/>
            <w:shd w:val="clear" w:color="auto" w:fill="E9EFF7"/>
          </w:tcPr>
          <w:p>
            <w:pPr>
              <w:spacing w:before="40" w:after="40" w:line="240" w:lineRule="auto"/>
              <w:jc w:val="left"/>
            </w:pPr>
            <w:r>
              <w:rPr>
                <w:rFonts w:ascii="Times New Roman" w:hAnsi="Times New Roman"/>
                <w:b w:val="0"/>
                <w:i w:val="0"/>
                <w:sz w:val="22"/>
              </w:rPr>
              <w:t>Death Benefit (Natural + Accidental)</w:t>
            </w:r>
          </w:p>
        </w:tc>
        <w:tc>
          <w:tcPr>
            <w:tcW w:type="dxa" w:w="1670"/>
            <w:shd w:val="clear" w:color="auto" w:fill="E9EFF7"/>
          </w:tcPr>
          <w:p>
            <w:pPr>
              <w:spacing w:before="40" w:after="40" w:line="240" w:lineRule="auto"/>
              <w:jc w:val="left"/>
            </w:pPr>
            <w:r>
              <w:rPr>
                <w:rFonts w:ascii="Times New Roman" w:hAnsi="Times New Roman"/>
                <w:b w:val="0"/>
                <w:i w:val="0"/>
                <w:sz w:val="22"/>
              </w:rPr>
              <w:t>10,00,000</w:t>
            </w:r>
          </w:p>
        </w:tc>
        <w:tc>
          <w:tcPr>
            <w:tcW w:type="dxa" w:w="1440"/>
            <w:shd w:val="clear" w:color="auto" w:fill="E9EFF7"/>
          </w:tcPr>
          <w:p>
            <w:pPr>
              <w:spacing w:before="40" w:after="40" w:line="240" w:lineRule="auto"/>
              <w:jc w:val="left"/>
            </w:pPr>
            <w:r>
              <w:rPr>
                <w:rFonts w:ascii="Times New Roman" w:hAnsi="Times New Roman"/>
                <w:b w:val="0"/>
                <w:i w:val="0"/>
                <w:sz w:val="22"/>
              </w:rPr>
              <w:t>0.50%</w:t>
            </w:r>
          </w:p>
        </w:tc>
        <w:tc>
          <w:tcPr>
            <w:tcW w:type="dxa" w:w="1872"/>
            <w:shd w:val="clear" w:color="auto" w:fill="E9EFF7"/>
          </w:tcPr>
          <w:p>
            <w:pPr>
              <w:spacing w:before="40" w:after="40" w:line="240" w:lineRule="auto"/>
              <w:jc w:val="left"/>
            </w:pPr>
            <w:r>
              <w:rPr>
                <w:rFonts w:ascii="Times New Roman" w:hAnsi="Times New Roman"/>
                <w:b w:val="0"/>
                <w:i w:val="0"/>
                <w:sz w:val="22"/>
              </w:rPr>
              <w:t>17,50,000</w:t>
            </w:r>
          </w:p>
        </w:tc>
      </w:tr>
      <w:tr>
        <w:tc>
          <w:tcPr>
            <w:tcW w:type="dxa" w:w="1440"/>
            <w:shd w:val="clear" w:color="auto" w:fill="FFFFFF"/>
          </w:tcPr>
          <w:p>
            <w:pPr>
              <w:spacing w:before="40" w:after="40" w:line="240" w:lineRule="auto"/>
              <w:jc w:val="left"/>
            </w:pPr>
            <w:r>
              <w:rPr>
                <w:rFonts w:ascii="Times New Roman" w:hAnsi="Times New Roman"/>
                <w:b w:val="0"/>
                <w:i w:val="0"/>
                <w:sz w:val="22"/>
              </w:rPr>
              <w:t>Group Health</w:t>
            </w:r>
          </w:p>
        </w:tc>
        <w:tc>
          <w:tcPr>
            <w:tcW w:type="dxa" w:w="2880"/>
            <w:shd w:val="clear" w:color="auto" w:fill="FFFFFF"/>
          </w:tcPr>
          <w:p>
            <w:pPr>
              <w:spacing w:before="40" w:after="40" w:line="240" w:lineRule="auto"/>
              <w:jc w:val="left"/>
            </w:pPr>
            <w:r>
              <w:rPr>
                <w:rFonts w:ascii="Times New Roman" w:hAnsi="Times New Roman"/>
                <w:b w:val="0"/>
                <w:i w:val="0"/>
                <w:sz w:val="22"/>
              </w:rPr>
              <w:t>Hospitalization &amp; Medical Expenses</w:t>
            </w:r>
          </w:p>
        </w:tc>
        <w:tc>
          <w:tcPr>
            <w:tcW w:type="dxa" w:w="1670"/>
            <w:shd w:val="clear" w:color="auto" w:fill="FFFFFF"/>
          </w:tcPr>
          <w:p>
            <w:pPr>
              <w:spacing w:before="40" w:after="40" w:line="240" w:lineRule="auto"/>
              <w:jc w:val="left"/>
            </w:pPr>
            <w:r>
              <w:rPr>
                <w:rFonts w:ascii="Times New Roman" w:hAnsi="Times New Roman"/>
                <w:b w:val="0"/>
                <w:i w:val="0"/>
                <w:sz w:val="22"/>
              </w:rPr>
              <w:t>3,00,000</w:t>
            </w:r>
          </w:p>
        </w:tc>
        <w:tc>
          <w:tcPr>
            <w:tcW w:type="dxa" w:w="1440"/>
            <w:shd w:val="clear" w:color="auto" w:fill="FFFFFF"/>
          </w:tcPr>
          <w:p>
            <w:pPr>
              <w:spacing w:before="40" w:after="40" w:line="240" w:lineRule="auto"/>
              <w:jc w:val="left"/>
            </w:pPr>
            <w:r>
              <w:rPr>
                <w:rFonts w:ascii="Times New Roman" w:hAnsi="Times New Roman"/>
                <w:b w:val="0"/>
                <w:i w:val="0"/>
                <w:sz w:val="22"/>
              </w:rPr>
              <w:t>2.20%</w:t>
            </w:r>
          </w:p>
        </w:tc>
        <w:tc>
          <w:tcPr>
            <w:tcW w:type="dxa" w:w="1872"/>
            <w:shd w:val="clear" w:color="auto" w:fill="FFFFFF"/>
          </w:tcPr>
          <w:p>
            <w:pPr>
              <w:spacing w:before="40" w:after="40" w:line="240" w:lineRule="auto"/>
              <w:jc w:val="left"/>
            </w:pPr>
            <w:r>
              <w:rPr>
                <w:rFonts w:ascii="Times New Roman" w:hAnsi="Times New Roman"/>
                <w:b w:val="0"/>
                <w:i w:val="0"/>
                <w:sz w:val="22"/>
              </w:rPr>
              <w:t>23,10,000</w:t>
            </w:r>
          </w:p>
        </w:tc>
      </w:tr>
      <w:tr>
        <w:tc>
          <w:tcPr>
            <w:tcW w:type="dxa" w:w="1440"/>
            <w:shd w:val="clear" w:color="auto" w:fill="E9EFF7"/>
          </w:tcPr>
          <w:p>
            <w:pPr>
              <w:spacing w:before="40" w:after="40" w:line="240" w:lineRule="auto"/>
              <w:jc w:val="left"/>
            </w:pPr>
            <w:r>
              <w:rPr>
                <w:rFonts w:ascii="Times New Roman" w:hAnsi="Times New Roman"/>
                <w:b w:val="0"/>
                <w:i w:val="0"/>
                <w:sz w:val="22"/>
              </w:rPr>
              <w:t>Personal Accident</w:t>
            </w:r>
          </w:p>
        </w:tc>
        <w:tc>
          <w:tcPr>
            <w:tcW w:type="dxa" w:w="2880"/>
            <w:shd w:val="clear" w:color="auto" w:fill="E9EFF7"/>
          </w:tcPr>
          <w:p>
            <w:pPr>
              <w:spacing w:before="40" w:after="40" w:line="240" w:lineRule="auto"/>
              <w:jc w:val="left"/>
            </w:pPr>
            <w:r>
              <w:rPr>
                <w:rFonts w:ascii="Times New Roman" w:hAnsi="Times New Roman"/>
                <w:b w:val="0"/>
                <w:i w:val="0"/>
                <w:sz w:val="22"/>
              </w:rPr>
              <w:t>Accidental Death &amp; Disability</w:t>
            </w:r>
          </w:p>
        </w:tc>
        <w:tc>
          <w:tcPr>
            <w:tcW w:type="dxa" w:w="1670"/>
            <w:shd w:val="clear" w:color="auto" w:fill="E9EFF7"/>
          </w:tcPr>
          <w:p>
            <w:pPr>
              <w:spacing w:before="40" w:after="40" w:line="240" w:lineRule="auto"/>
              <w:jc w:val="left"/>
            </w:pPr>
            <w:r>
              <w:rPr>
                <w:rFonts w:ascii="Times New Roman" w:hAnsi="Times New Roman"/>
                <w:b w:val="0"/>
                <w:i w:val="0"/>
                <w:sz w:val="22"/>
              </w:rPr>
              <w:t>5,00,000</w:t>
            </w:r>
          </w:p>
        </w:tc>
        <w:tc>
          <w:tcPr>
            <w:tcW w:type="dxa" w:w="1440"/>
            <w:shd w:val="clear" w:color="auto" w:fill="E9EFF7"/>
          </w:tcPr>
          <w:p>
            <w:pPr>
              <w:spacing w:before="40" w:after="40" w:line="240" w:lineRule="auto"/>
              <w:jc w:val="left"/>
            </w:pPr>
            <w:r>
              <w:rPr>
                <w:rFonts w:ascii="Times New Roman" w:hAnsi="Times New Roman"/>
                <w:b w:val="0"/>
                <w:i w:val="0"/>
                <w:sz w:val="22"/>
              </w:rPr>
              <w:t>0.18%</w:t>
            </w:r>
          </w:p>
        </w:tc>
        <w:tc>
          <w:tcPr>
            <w:tcW w:type="dxa" w:w="1872"/>
            <w:shd w:val="clear" w:color="auto" w:fill="E9EFF7"/>
          </w:tcPr>
          <w:p>
            <w:pPr>
              <w:spacing w:before="40" w:after="40" w:line="240" w:lineRule="auto"/>
              <w:jc w:val="left"/>
            </w:pPr>
            <w:r>
              <w:rPr>
                <w:rFonts w:ascii="Times New Roman" w:hAnsi="Times New Roman"/>
                <w:b w:val="0"/>
                <w:i w:val="0"/>
                <w:sz w:val="22"/>
              </w:rPr>
              <w:t>3,15,000</w:t>
            </w:r>
          </w:p>
        </w:tc>
      </w:tr>
      <w:tr>
        <w:tc>
          <w:tcPr>
            <w:tcW w:type="dxa" w:w="1440"/>
            <w:shd w:val="clear" w:color="auto" w:fill="FFFFFF"/>
          </w:tcPr>
          <w:p>
            <w:pPr>
              <w:spacing w:before="40" w:after="40" w:line="240" w:lineRule="auto"/>
              <w:jc w:val="left"/>
            </w:pPr>
            <w:r>
              <w:rPr>
                <w:rFonts w:ascii="Times New Roman" w:hAnsi="Times New Roman"/>
                <w:b w:val="0"/>
                <w:i w:val="0"/>
                <w:sz w:val="22"/>
              </w:rPr>
              <w:t>Maternity</w:t>
            </w:r>
          </w:p>
        </w:tc>
        <w:tc>
          <w:tcPr>
            <w:tcW w:type="dxa" w:w="2880"/>
            <w:shd w:val="clear" w:color="auto" w:fill="FFFFFF"/>
          </w:tcPr>
          <w:p>
            <w:pPr>
              <w:spacing w:before="40" w:after="40" w:line="240" w:lineRule="auto"/>
              <w:jc w:val="left"/>
            </w:pPr>
            <w:r>
              <w:rPr>
                <w:rFonts w:ascii="Times New Roman" w:hAnsi="Times New Roman"/>
                <w:b w:val="0"/>
                <w:i w:val="0"/>
                <w:sz w:val="22"/>
              </w:rPr>
              <w:t>Normal &amp; C-section Delivery</w:t>
            </w:r>
          </w:p>
        </w:tc>
        <w:tc>
          <w:tcPr>
            <w:tcW w:type="dxa" w:w="1670"/>
            <w:shd w:val="clear" w:color="auto" w:fill="FFFFFF"/>
          </w:tcPr>
          <w:p>
            <w:pPr>
              <w:spacing w:before="40" w:after="40" w:line="240" w:lineRule="auto"/>
              <w:jc w:val="left"/>
            </w:pPr>
            <w:r>
              <w:rPr>
                <w:rFonts w:ascii="Times New Roman" w:hAnsi="Times New Roman"/>
                <w:b w:val="0"/>
                <w:i w:val="0"/>
                <w:sz w:val="22"/>
              </w:rPr>
              <w:t>50,000</w:t>
            </w:r>
          </w:p>
        </w:tc>
        <w:tc>
          <w:tcPr>
            <w:tcW w:type="dxa" w:w="1440"/>
            <w:shd w:val="clear" w:color="auto" w:fill="FFFFFF"/>
          </w:tcPr>
          <w:p>
            <w:pPr>
              <w:spacing w:before="40" w:after="40" w:line="240" w:lineRule="auto"/>
              <w:jc w:val="left"/>
            </w:pPr>
            <w:r>
              <w:rPr>
                <w:rFonts w:ascii="Times New Roman" w:hAnsi="Times New Roman"/>
                <w:b w:val="0"/>
                <w:i w:val="0"/>
                <w:sz w:val="22"/>
              </w:rPr>
              <w:t>Included</w:t>
            </w:r>
          </w:p>
        </w:tc>
        <w:tc>
          <w:tcPr>
            <w:tcW w:type="dxa" w:w="1872"/>
            <w:shd w:val="clear" w:color="auto" w:fill="FFFFFF"/>
          </w:tcPr>
          <w:p>
            <w:pPr>
              <w:spacing w:before="40" w:after="40" w:line="240" w:lineRule="auto"/>
              <w:jc w:val="left"/>
            </w:pPr>
            <w:r>
              <w:rPr>
                <w:rFonts w:ascii="Times New Roman" w:hAnsi="Times New Roman"/>
                <w:b w:val="0"/>
                <w:i w:val="0"/>
                <w:sz w:val="22"/>
              </w:rPr>
              <w:t>Included</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III.  PREMIUM SUMMARY</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Total Annual Premium (Tk.)</w:t>
            </w:r>
          </w:p>
        </w:tc>
        <w:tc>
          <w:tcPr>
            <w:tcW w:type="dxa" w:w="3758"/>
            <w:shd w:val="clear" w:color="auto" w:fill="E9EFF7"/>
            <w:vAlign w:val="top"/>
          </w:tcPr>
          <w:p>
            <w:pPr>
              <w:spacing w:before="40" w:after="40"/>
            </w:pPr>
            <w:r>
              <w:rPr>
                <w:rFonts w:ascii="Times New Roman" w:hAnsi="Times New Roman"/>
                <w:b w:val="0"/>
                <w:i w:val="0"/>
                <w:sz w:val="22"/>
              </w:rPr>
              <w:t>43,75,000</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Stamp Duty (Tk.)</w:t>
            </w:r>
          </w:p>
        </w:tc>
        <w:tc>
          <w:tcPr>
            <w:tcW w:type="dxa" w:w="3758"/>
            <w:shd w:val="clear" w:color="auto" w:fill="FFFFFF"/>
            <w:vAlign w:val="top"/>
          </w:tcPr>
          <w:p>
            <w:pPr>
              <w:spacing w:before="40" w:after="40"/>
            </w:pPr>
            <w:r>
              <w:rPr>
                <w:rFonts w:ascii="Times New Roman" w:hAnsi="Times New Roman"/>
                <w:b w:val="0"/>
                <w:i w:val="0"/>
                <w:sz w:val="22"/>
              </w:rPr>
              <w:t>2,000</w:t>
            </w:r>
          </w:p>
        </w:tc>
      </w:tr>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VAT (7%) (Tk.)</w:t>
            </w:r>
          </w:p>
        </w:tc>
        <w:tc>
          <w:tcPr>
            <w:tcW w:type="dxa" w:w="3758"/>
            <w:shd w:val="clear" w:color="auto" w:fill="E9EFF7"/>
            <w:vAlign w:val="top"/>
          </w:tcPr>
          <w:p>
            <w:pPr>
              <w:spacing w:before="40" w:after="40"/>
            </w:pPr>
            <w:r>
              <w:rPr>
                <w:rFonts w:ascii="Times New Roman" w:hAnsi="Times New Roman"/>
                <w:b w:val="0"/>
                <w:i w:val="0"/>
                <w:sz w:val="22"/>
              </w:rPr>
              <w:t>3,06,250</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TOTAL PAYABLE (Tk.)</w:t>
            </w:r>
          </w:p>
        </w:tc>
        <w:tc>
          <w:tcPr>
            <w:tcW w:type="dxa" w:w="3758"/>
            <w:shd w:val="clear" w:color="auto" w:fill="FFFFFF"/>
            <w:vAlign w:val="top"/>
          </w:tcPr>
          <w:p>
            <w:pPr>
              <w:spacing w:before="40" w:after="40"/>
            </w:pPr>
            <w:r>
              <w:rPr>
                <w:rFonts w:ascii="Times New Roman" w:hAnsi="Times New Roman"/>
                <w:b w:val="0"/>
                <w:i w:val="0"/>
                <w:sz w:val="22"/>
              </w:rPr>
              <w:t>46,83,250</w:t>
            </w:r>
          </w:p>
        </w:tc>
      </w:tr>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Mode of Payment</w:t>
            </w:r>
          </w:p>
        </w:tc>
        <w:tc>
          <w:tcPr>
            <w:tcW w:type="dxa" w:w="3758"/>
            <w:shd w:val="clear" w:color="auto" w:fill="E9EFF7"/>
            <w:vAlign w:val="top"/>
          </w:tcPr>
          <w:p>
            <w:pPr>
              <w:spacing w:before="40" w:after="40"/>
            </w:pPr>
            <w:r>
              <w:rPr>
                <w:rFonts w:ascii="Times New Roman" w:hAnsi="Times New Roman"/>
                <w:b w:val="0"/>
                <w:i w:val="0"/>
                <w:sz w:val="22"/>
              </w:rPr>
              <w:t>Annual</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Coverage Period From</w:t>
            </w:r>
          </w:p>
        </w:tc>
        <w:tc>
          <w:tcPr>
            <w:tcW w:type="dxa" w:w="3758"/>
            <w:shd w:val="clear" w:color="auto" w:fill="FFFFFF"/>
            <w:vAlign w:val="top"/>
          </w:tcPr>
          <w:p>
            <w:pPr>
              <w:spacing w:before="40" w:after="40"/>
            </w:pPr>
            <w:r>
              <w:rPr>
                <w:rFonts w:ascii="Times New Roman" w:hAnsi="Times New Roman"/>
                <w:b w:val="0"/>
                <w:i w:val="0"/>
                <w:sz w:val="22"/>
              </w:rPr>
              <w:t>01 Jan 2026</w:t>
            </w:r>
          </w:p>
        </w:tc>
      </w:tr>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Coverage Period To</w:t>
            </w:r>
          </w:p>
        </w:tc>
        <w:tc>
          <w:tcPr>
            <w:tcW w:type="dxa" w:w="3758"/>
            <w:shd w:val="clear" w:color="auto" w:fill="E9EFF7"/>
            <w:vAlign w:val="top"/>
          </w:tcPr>
          <w:p>
            <w:pPr>
              <w:spacing w:before="40" w:after="40"/>
            </w:pPr>
            <w:r>
              <w:rPr>
                <w:rFonts w:ascii="Times New Roman" w:hAnsi="Times New Roman"/>
                <w:b w:val="0"/>
                <w:i w:val="0"/>
                <w:sz w:val="22"/>
              </w:rPr>
              <w:t>31 Dec 2026</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IV.  KEY TERMS &amp; CONDITIONS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040"/>
            <w:shd w:val="clear" w:color="auto" w:fill="E9EFF7"/>
            <w:vAlign w:val="top"/>
          </w:tcPr>
          <w:p>
            <w:pPr>
              <w:spacing w:before="40" w:after="40"/>
            </w:pPr>
            <w:r>
              <w:rPr>
                <w:rFonts w:ascii="Times New Roman" w:hAnsi="Times New Roman"/>
                <w:b w:val="0"/>
                <w:i w:val="0"/>
                <w:sz w:val="22"/>
              </w:rPr>
              <w:t>Waiting Period</w:t>
            </w:r>
          </w:p>
        </w:tc>
        <w:tc>
          <w:tcPr>
            <w:tcW w:type="dxa" w:w="3758"/>
            <w:shd w:val="clear" w:color="auto" w:fill="E9EFF7"/>
            <w:vAlign w:val="top"/>
          </w:tcPr>
          <w:p>
            <w:pPr>
              <w:spacing w:before="40" w:after="40"/>
            </w:pPr>
            <w:r>
              <w:rPr>
                <w:rFonts w:ascii="Times New Roman" w:hAnsi="Times New Roman"/>
                <w:b w:val="0"/>
                <w:i w:val="0"/>
                <w:sz w:val="22"/>
              </w:rPr>
              <w:t>30 days (waived for accidents)</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040"/>
            <w:shd w:val="clear" w:color="auto" w:fill="FFFFFF"/>
            <w:vAlign w:val="top"/>
          </w:tcPr>
          <w:p>
            <w:pPr>
              <w:spacing w:before="40" w:after="40"/>
            </w:pPr>
            <w:r>
              <w:rPr>
                <w:rFonts w:ascii="Times New Roman" w:hAnsi="Times New Roman"/>
                <w:b w:val="0"/>
                <w:i w:val="0"/>
                <w:sz w:val="22"/>
              </w:rPr>
              <w:t>Pre-existing Condition Exclusion</w:t>
            </w:r>
          </w:p>
        </w:tc>
        <w:tc>
          <w:tcPr>
            <w:tcW w:type="dxa" w:w="3758"/>
            <w:shd w:val="clear" w:color="auto" w:fill="FFFFFF"/>
            <w:vAlign w:val="top"/>
          </w:tcPr>
          <w:p>
            <w:pPr>
              <w:spacing w:before="40" w:after="40"/>
            </w:pPr>
            <w:r>
              <w:rPr>
                <w:rFonts w:ascii="Times New Roman" w:hAnsi="Times New Roman"/>
                <w:b w:val="0"/>
                <w:i w:val="0"/>
                <w:sz w:val="22"/>
              </w:rPr>
              <w:t>2 years</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040"/>
            <w:shd w:val="clear" w:color="auto" w:fill="E9EFF7"/>
            <w:vAlign w:val="top"/>
          </w:tcPr>
          <w:p>
            <w:pPr>
              <w:spacing w:before="40" w:after="40"/>
            </w:pPr>
            <w:r>
              <w:rPr>
                <w:rFonts w:ascii="Times New Roman" w:hAnsi="Times New Roman"/>
                <w:b w:val="0"/>
                <w:i w:val="0"/>
                <w:sz w:val="22"/>
              </w:rPr>
              <w:t>Maternity Benefit</w:t>
            </w:r>
          </w:p>
        </w:tc>
        <w:tc>
          <w:tcPr>
            <w:tcW w:type="dxa" w:w="3758"/>
            <w:shd w:val="clear" w:color="auto" w:fill="E9EFF7"/>
            <w:vAlign w:val="top"/>
          </w:tcPr>
          <w:p>
            <w:pPr>
              <w:spacing w:before="40" w:after="40"/>
            </w:pPr>
            <w:r>
              <w:rPr>
                <w:rFonts w:ascii="Times New Roman" w:hAnsi="Times New Roman"/>
                <w:b w:val="0"/>
                <w:i w:val="0"/>
                <w:sz w:val="22"/>
              </w:rPr>
              <w:t>Yes – Tk. 50,000 per delivery</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040"/>
            <w:shd w:val="clear" w:color="auto" w:fill="FFFFFF"/>
            <w:vAlign w:val="top"/>
          </w:tcPr>
          <w:p>
            <w:pPr>
              <w:spacing w:before="40" w:after="40"/>
            </w:pPr>
            <w:r>
              <w:rPr>
                <w:rFonts w:ascii="Times New Roman" w:hAnsi="Times New Roman"/>
                <w:b w:val="0"/>
                <w:i w:val="0"/>
                <w:sz w:val="22"/>
              </w:rPr>
              <w:t>Dental Benefit</w:t>
            </w:r>
          </w:p>
        </w:tc>
        <w:tc>
          <w:tcPr>
            <w:tcW w:type="dxa" w:w="3758"/>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5040"/>
            <w:shd w:val="clear" w:color="auto" w:fill="E9EFF7"/>
            <w:vAlign w:val="top"/>
          </w:tcPr>
          <w:p>
            <w:pPr>
              <w:spacing w:before="40" w:after="40"/>
            </w:pPr>
            <w:r>
              <w:rPr>
                <w:rFonts w:ascii="Times New Roman" w:hAnsi="Times New Roman"/>
                <w:b w:val="0"/>
                <w:i w:val="0"/>
                <w:sz w:val="22"/>
              </w:rPr>
              <w:t>Optical Benefit</w:t>
            </w:r>
          </w:p>
        </w:tc>
        <w:tc>
          <w:tcPr>
            <w:tcW w:type="dxa" w:w="3758"/>
            <w:shd w:val="clear" w:color="auto" w:fill="E9EFF7"/>
            <w:vAlign w:val="top"/>
          </w:tcPr>
          <w:p>
            <w:pPr>
              <w:spacing w:before="40" w:after="40"/>
            </w:pPr>
            <w:r>
              <w:rPr>
                <w:rFonts w:ascii="Times New Roman" w:hAnsi="Times New Roman"/>
                <w:b w:val="0"/>
                <w:i w:val="0"/>
                <w:sz w:val="22"/>
              </w:rPr>
              <w:t>No</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5040"/>
            <w:shd w:val="clear" w:color="auto" w:fill="FFFFFF"/>
            <w:vAlign w:val="top"/>
          </w:tcPr>
          <w:p>
            <w:pPr>
              <w:spacing w:before="40" w:after="40"/>
            </w:pPr>
            <w:r>
              <w:rPr>
                <w:rFonts w:ascii="Times New Roman" w:hAnsi="Times New Roman"/>
                <w:b w:val="0"/>
                <w:i w:val="0"/>
                <w:sz w:val="22"/>
              </w:rPr>
              <w:t>Room Rent Limit</w:t>
            </w:r>
          </w:p>
        </w:tc>
        <w:tc>
          <w:tcPr>
            <w:tcW w:type="dxa" w:w="3758"/>
            <w:shd w:val="clear" w:color="auto" w:fill="FFFFFF"/>
            <w:vAlign w:val="top"/>
          </w:tcPr>
          <w:p>
            <w:pPr>
              <w:spacing w:before="40" w:after="40"/>
            </w:pPr>
            <w:r>
              <w:rPr>
                <w:rFonts w:ascii="Times New Roman" w:hAnsi="Times New Roman"/>
                <w:b w:val="0"/>
                <w:i w:val="0"/>
                <w:sz w:val="22"/>
              </w:rPr>
              <w:t>Tk. 8,000 per day</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5040"/>
            <w:shd w:val="clear" w:color="auto" w:fill="E9EFF7"/>
            <w:vAlign w:val="top"/>
          </w:tcPr>
          <w:p>
            <w:pPr>
              <w:spacing w:before="40" w:after="40"/>
            </w:pPr>
            <w:r>
              <w:rPr>
                <w:rFonts w:ascii="Times New Roman" w:hAnsi="Times New Roman"/>
                <w:b w:val="0"/>
                <w:i w:val="0"/>
                <w:sz w:val="22"/>
              </w:rPr>
              <w:t>Sub-limit on ICU Charges</w:t>
            </w:r>
          </w:p>
        </w:tc>
        <w:tc>
          <w:tcPr>
            <w:tcW w:type="dxa" w:w="3758"/>
            <w:shd w:val="clear" w:color="auto" w:fill="E9EFF7"/>
            <w:vAlign w:val="top"/>
          </w:tcPr>
          <w:p>
            <w:pPr>
              <w:spacing w:before="40" w:after="40"/>
            </w:pPr>
            <w:r>
              <w:rPr>
                <w:rFonts w:ascii="Times New Roman" w:hAnsi="Times New Roman"/>
                <w:b w:val="0"/>
                <w:i w:val="0"/>
                <w:sz w:val="22"/>
              </w:rPr>
              <w:t>Tk. 15,000 per day</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5040"/>
            <w:shd w:val="clear" w:color="auto" w:fill="FFFFFF"/>
            <w:vAlign w:val="top"/>
          </w:tcPr>
          <w:p>
            <w:pPr>
              <w:spacing w:before="40" w:after="40"/>
            </w:pPr>
            <w:r>
              <w:rPr>
                <w:rFonts w:ascii="Times New Roman" w:hAnsi="Times New Roman"/>
                <w:b w:val="0"/>
                <w:i w:val="0"/>
                <w:sz w:val="22"/>
              </w:rPr>
              <w:t>Cashless / Reimbursement</w:t>
            </w:r>
          </w:p>
        </w:tc>
        <w:tc>
          <w:tcPr>
            <w:tcW w:type="dxa" w:w="3758"/>
            <w:shd w:val="clear" w:color="auto" w:fill="FFFFFF"/>
            <w:vAlign w:val="top"/>
          </w:tcPr>
          <w:p>
            <w:pPr>
              <w:spacing w:before="40" w:after="40"/>
            </w:pPr>
            <w:r>
              <w:rPr>
                <w:rFonts w:ascii="Times New Roman" w:hAnsi="Times New Roman"/>
                <w:b w:val="0"/>
                <w:i w:val="0"/>
                <w:sz w:val="22"/>
              </w:rPr>
              <w:t>Both</w:t>
            </w:r>
          </w:p>
        </w:tc>
      </w:tr>
      <w:tr>
        <w:tc>
          <w:tcPr>
            <w:tcW w:type="dxa" w:w="504"/>
            <w:shd w:val="clear" w:color="auto" w:fill="E9EFF7"/>
            <w:vAlign w:val="top"/>
          </w:tcPr>
          <w:p>
            <w:pPr>
              <w:spacing w:before="40" w:after="40"/>
            </w:pPr>
            <w:r>
              <w:rPr>
                <w:rFonts w:ascii="Times New Roman" w:hAnsi="Times New Roman"/>
                <w:b/>
                <w:i w:val="0"/>
                <w:sz w:val="22"/>
              </w:rPr>
              <w:t>9.</w:t>
            </w:r>
          </w:p>
        </w:tc>
        <w:tc>
          <w:tcPr>
            <w:tcW w:type="dxa" w:w="5040"/>
            <w:shd w:val="clear" w:color="auto" w:fill="E9EFF7"/>
            <w:vAlign w:val="top"/>
          </w:tcPr>
          <w:p>
            <w:pPr>
              <w:spacing w:before="40" w:after="40"/>
            </w:pPr>
            <w:r>
              <w:rPr>
                <w:rFonts w:ascii="Times New Roman" w:hAnsi="Times New Roman"/>
                <w:b w:val="0"/>
                <w:i w:val="0"/>
                <w:sz w:val="22"/>
              </w:rPr>
              <w:t>Network Hospitals</w:t>
            </w:r>
          </w:p>
        </w:tc>
        <w:tc>
          <w:tcPr>
            <w:tcW w:type="dxa" w:w="3758"/>
            <w:shd w:val="clear" w:color="auto" w:fill="E9EFF7"/>
            <w:vAlign w:val="top"/>
          </w:tcPr>
          <w:p>
            <w:pPr>
              <w:spacing w:before="40" w:after="40"/>
            </w:pPr>
            <w:r>
              <w:rPr>
                <w:rFonts w:ascii="Times New Roman" w:hAnsi="Times New Roman"/>
                <w:b w:val="0"/>
                <w:i w:val="0"/>
                <w:sz w:val="22"/>
              </w:rPr>
              <w:t>150+ hospitals nationwide</w:t>
            </w:r>
          </w:p>
        </w:tc>
      </w:tr>
      <w:tr>
        <w:tc>
          <w:tcPr>
            <w:tcW w:type="dxa" w:w="504"/>
            <w:shd w:val="clear" w:color="auto" w:fill="FFFFFF"/>
            <w:vAlign w:val="top"/>
          </w:tcPr>
          <w:p>
            <w:pPr>
              <w:spacing w:before="40" w:after="40"/>
            </w:pPr>
            <w:r>
              <w:rPr>
                <w:rFonts w:ascii="Times New Roman" w:hAnsi="Times New Roman"/>
                <w:b/>
                <w:i w:val="0"/>
                <w:sz w:val="22"/>
              </w:rPr>
              <w:t>10.</w:t>
            </w:r>
          </w:p>
        </w:tc>
        <w:tc>
          <w:tcPr>
            <w:tcW w:type="dxa" w:w="5040"/>
            <w:shd w:val="clear" w:color="auto" w:fill="FFFFFF"/>
            <w:vAlign w:val="top"/>
          </w:tcPr>
          <w:p>
            <w:pPr>
              <w:spacing w:before="40" w:after="40"/>
            </w:pPr>
            <w:r>
              <w:rPr>
                <w:rFonts w:ascii="Times New Roman" w:hAnsi="Times New Roman"/>
                <w:b w:val="0"/>
                <w:i w:val="0"/>
                <w:sz w:val="22"/>
              </w:rPr>
              <w:t>Claim Submission Deadline</w:t>
            </w:r>
          </w:p>
        </w:tc>
        <w:tc>
          <w:tcPr>
            <w:tcW w:type="dxa" w:w="3758"/>
            <w:shd w:val="clear" w:color="auto" w:fill="FFFFFF"/>
            <w:vAlign w:val="top"/>
          </w:tcPr>
          <w:p>
            <w:pPr>
              <w:spacing w:before="40" w:after="40"/>
            </w:pPr>
            <w:r>
              <w:rPr>
                <w:rFonts w:ascii="Times New Roman" w:hAnsi="Times New Roman"/>
                <w:b w:val="0"/>
                <w:i w:val="0"/>
                <w:sz w:val="22"/>
              </w:rPr>
              <w:t>90 days from discharge</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V.  GENERAL EXCLUSIONS (KEY)</w:t>
      </w:r>
    </w:p>
    <w:p>
      <w:pPr>
        <w:spacing w:before="0" w:after="80" w:line="240" w:lineRule="auto"/>
        <w:jc w:val="left"/>
      </w:pPr>
      <w:r>
        <w:rPr>
          <w:rFonts w:ascii="Times New Roman" w:hAnsi="Times New Roman"/>
          <w:b w:val="0"/>
          <w:i w:val="0"/>
          <w:sz w:val="22"/>
        </w:rPr>
        <w:t>This policy does not cover: (1) Pre-existing diseases during waiting period; (2) Cosmetic or aesthetic treatments; (3) Self-inflicted injuries or suicide; (4) War, invasion or civil commotion; (5) Experimental treatments; (6) Dental treatment except arising from accident; (7) Eyesight correction surgery; (8) Infertility treatment; (9) Obesity treatment; (10) Drug or alcohol abuse.</w:t>
      </w:r>
    </w:p>
    <w:p>
      <w:pPr>
        <w:spacing w:before="160" w:after="80" w:line="240" w:lineRule="auto"/>
        <w:jc w:val="left"/>
        <w:pBdr>
          <w:bottom w:val="single" w:sz="4" w:space="1" w:color="1F3864"/>
        </w:pBdr>
      </w:pPr>
      <w:r>
        <w:rPr>
          <w:rFonts w:ascii="Times New Roman" w:hAnsi="Times New Roman"/>
          <w:b/>
          <w:i w:val="0"/>
          <w:color w:val="1F3864"/>
          <w:sz w:val="28"/>
        </w:rPr>
        <w:t>VI.  INSURER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r>
          </w:p>
        </w:tc>
        <w:tc>
          <w:tcPr>
            <w:tcW w:type="dxa" w:w="4320"/>
            <w:shd w:val="clear" w:color="auto" w:fill="E9EFF7"/>
            <w:vAlign w:val="top"/>
          </w:tcPr>
          <w:p>
            <w:pPr>
              <w:spacing w:before="40" w:after="40"/>
            </w:pPr>
            <w:r>
              <w:rPr>
                <w:rFonts w:ascii="Times New Roman" w:hAnsi="Times New Roman"/>
                <w:b w:val="0"/>
                <w:i w:val="0"/>
                <w:sz w:val="22"/>
              </w:rPr>
              <w:t>Insurer Name</w:t>
            </w:r>
          </w:p>
        </w:tc>
        <w:tc>
          <w:tcPr>
            <w:tcW w:type="dxa" w:w="4478"/>
            <w:shd w:val="clear" w:color="auto" w:fill="E9EFF7"/>
            <w:vAlign w:val="top"/>
          </w:tcPr>
          <w:p>
            <w:pPr>
              <w:spacing w:before="40" w:after="40"/>
            </w:pPr>
            <w:r>
              <w:rPr>
                <w:rFonts w:ascii="Times New Roman" w:hAnsi="Times New Roman"/>
                <w:b w:val="0"/>
                <w:i w:val="0"/>
                <w:sz w:val="22"/>
              </w:rPr>
              <w:t>Pragati Insurance PLC</w:t>
            </w:r>
          </w:p>
        </w:tc>
      </w:tr>
      <w:tr>
        <w:tc>
          <w:tcPr>
            <w:tcW w:type="dxa" w:w="504"/>
            <w:shd w:val="clear" w:color="auto" w:fill="FFFFFF"/>
            <w:vAlign w:val="top"/>
          </w:tcPr>
          <w:p>
            <w:pPr>
              <w:spacing w:before="40" w:after="40"/>
            </w:pPr>
            <w:r>
              <w:rPr>
                <w:rFonts w:ascii="Times New Roman" w:hAnsi="Times New Roman"/>
                <w:b/>
                <w:i w:val="0"/>
                <w:sz w:val="22"/>
              </w:rPr>
            </w:r>
          </w:p>
        </w:tc>
        <w:tc>
          <w:tcPr>
            <w:tcW w:type="dxa" w:w="4320"/>
            <w:shd w:val="clear" w:color="auto" w:fill="FFFFFF"/>
            <w:vAlign w:val="top"/>
          </w:tcPr>
          <w:p>
            <w:pPr>
              <w:spacing w:before="40" w:after="40"/>
            </w:pPr>
            <w:r>
              <w:rPr>
                <w:rFonts w:ascii="Times New Roman" w:hAnsi="Times New Roman"/>
                <w:b w:val="0"/>
                <w:i w:val="0"/>
                <w:sz w:val="22"/>
              </w:rPr>
              <w:t>License No.</w:t>
            </w:r>
          </w:p>
        </w:tc>
        <w:tc>
          <w:tcPr>
            <w:tcW w:type="dxa" w:w="4478"/>
            <w:shd w:val="clear" w:color="auto" w:fill="FFFFFF"/>
            <w:vAlign w:val="top"/>
          </w:tcPr>
          <w:p>
            <w:pPr>
              <w:spacing w:before="40" w:after="40"/>
            </w:pPr>
            <w:r>
              <w:rPr>
                <w:rFonts w:ascii="Times New Roman" w:hAnsi="Times New Roman"/>
                <w:b w:val="0"/>
                <w:i w:val="0"/>
                <w:sz w:val="22"/>
              </w:rPr>
              <w:t>IDRA-2001-0042</w:t>
            </w:r>
          </w:p>
        </w:tc>
      </w:tr>
      <w:tr>
        <w:tc>
          <w:tcPr>
            <w:tcW w:type="dxa" w:w="504"/>
            <w:shd w:val="clear" w:color="auto" w:fill="E9EFF7"/>
            <w:vAlign w:val="top"/>
          </w:tcPr>
          <w:p>
            <w:pPr>
              <w:spacing w:before="40" w:after="40"/>
            </w:pPr>
            <w:r>
              <w:rPr>
                <w:rFonts w:ascii="Times New Roman" w:hAnsi="Times New Roman"/>
                <w:b/>
                <w:i w:val="0"/>
                <w:sz w:val="22"/>
              </w:rPr>
            </w:r>
          </w:p>
        </w:tc>
        <w:tc>
          <w:tcPr>
            <w:tcW w:type="dxa" w:w="4320"/>
            <w:shd w:val="clear" w:color="auto" w:fill="E9EFF7"/>
            <w:vAlign w:val="top"/>
          </w:tcPr>
          <w:p>
            <w:pPr>
              <w:spacing w:before="40" w:after="40"/>
            </w:pPr>
            <w:r>
              <w:rPr>
                <w:rFonts w:ascii="Times New Roman" w:hAnsi="Times New Roman"/>
                <w:b w:val="0"/>
                <w:i w:val="0"/>
                <w:sz w:val="22"/>
              </w:rPr>
              <w:t>Reinsurance Arrangement</w:t>
            </w:r>
          </w:p>
        </w:tc>
        <w:tc>
          <w:tcPr>
            <w:tcW w:type="dxa" w:w="4478"/>
            <w:shd w:val="clear" w:color="auto" w:fill="E9EFF7"/>
            <w:vAlign w:val="top"/>
          </w:tcPr>
          <w:p>
            <w:pPr>
              <w:spacing w:before="40" w:after="40"/>
            </w:pPr>
            <w:r>
              <w:rPr>
                <w:rFonts w:ascii="Times New Roman" w:hAnsi="Times New Roman"/>
                <w:b w:val="0"/>
                <w:i w:val="0"/>
                <w:sz w:val="22"/>
              </w:rPr>
              <w:t>Munich Re / Swiss Re</w:t>
            </w:r>
          </w:p>
        </w:tc>
      </w:tr>
      <w:tr>
        <w:tc>
          <w:tcPr>
            <w:tcW w:type="dxa" w:w="504"/>
            <w:shd w:val="clear" w:color="auto" w:fill="FFFFFF"/>
            <w:vAlign w:val="top"/>
          </w:tcPr>
          <w:p>
            <w:pPr>
              <w:spacing w:before="40" w:after="40"/>
            </w:pPr>
            <w:r>
              <w:rPr>
                <w:rFonts w:ascii="Times New Roman" w:hAnsi="Times New Roman"/>
                <w:b/>
                <w:i w:val="0"/>
                <w:sz w:val="22"/>
              </w:rPr>
            </w:r>
          </w:p>
        </w:tc>
        <w:tc>
          <w:tcPr>
            <w:tcW w:type="dxa" w:w="4320"/>
            <w:shd w:val="clear" w:color="auto" w:fill="FFFFFF"/>
            <w:vAlign w:val="top"/>
          </w:tcPr>
          <w:p>
            <w:pPr>
              <w:spacing w:before="40" w:after="40"/>
            </w:pPr>
            <w:r>
              <w:rPr>
                <w:rFonts w:ascii="Times New Roman" w:hAnsi="Times New Roman"/>
                <w:b w:val="0"/>
                <w:i w:val="0"/>
                <w:sz w:val="22"/>
              </w:rPr>
              <w:t>Claims Settlement TAT</w:t>
            </w:r>
          </w:p>
        </w:tc>
        <w:tc>
          <w:tcPr>
            <w:tcW w:type="dxa" w:w="4478"/>
            <w:shd w:val="clear" w:color="auto" w:fill="FFFFFF"/>
            <w:vAlign w:val="top"/>
          </w:tcPr>
          <w:p>
            <w:pPr>
              <w:spacing w:before="40" w:after="40"/>
            </w:pPr>
            <w:r>
              <w:rPr>
                <w:rFonts w:ascii="Times New Roman" w:hAnsi="Times New Roman"/>
                <w:b w:val="0"/>
                <w:i w:val="0"/>
                <w:sz w:val="22"/>
              </w:rPr>
              <w:t>15 working days</w:t>
            </w:r>
          </w:p>
        </w:tc>
      </w:tr>
      <w:tr>
        <w:tc>
          <w:tcPr>
            <w:tcW w:type="dxa" w:w="504"/>
            <w:shd w:val="clear" w:color="auto" w:fill="E9EFF7"/>
            <w:vAlign w:val="top"/>
          </w:tcPr>
          <w:p>
            <w:pPr>
              <w:spacing w:before="40" w:after="40"/>
            </w:pPr>
            <w:r>
              <w:rPr>
                <w:rFonts w:ascii="Times New Roman" w:hAnsi="Times New Roman"/>
                <w:b/>
                <w:i w:val="0"/>
                <w:sz w:val="22"/>
              </w:rPr>
            </w:r>
          </w:p>
        </w:tc>
        <w:tc>
          <w:tcPr>
            <w:tcW w:type="dxa" w:w="4320"/>
            <w:shd w:val="clear" w:color="auto" w:fill="E9EFF7"/>
            <w:vAlign w:val="top"/>
          </w:tcPr>
          <w:p>
            <w:pPr>
              <w:spacing w:before="40" w:after="40"/>
            </w:pPr>
            <w:r>
              <w:rPr>
                <w:rFonts w:ascii="Times New Roman" w:hAnsi="Times New Roman"/>
                <w:b w:val="0"/>
                <w:i w:val="0"/>
                <w:sz w:val="22"/>
              </w:rPr>
              <w:t>TPA / Third Party Administrator</w:t>
            </w:r>
          </w:p>
        </w:tc>
        <w:tc>
          <w:tcPr>
            <w:tcW w:type="dxa" w:w="4478"/>
            <w:shd w:val="clear" w:color="auto" w:fill="E9EFF7"/>
            <w:vAlign w:val="top"/>
          </w:tcPr>
          <w:p>
            <w:pPr>
              <w:spacing w:before="40" w:after="40"/>
            </w:pPr>
            <w:r>
              <w:rPr>
                <w:rFonts w:ascii="Times New Roman" w:hAnsi="Times New Roman"/>
                <w:b w:val="0"/>
                <w:i w:val="0"/>
                <w:sz w:val="22"/>
              </w:rPr>
              <w:t>Labaid Insuretech (Digital Claims Portal)</w:t>
            </w:r>
          </w:p>
        </w:tc>
      </w:tr>
      <w:tr>
        <w:tc>
          <w:tcPr>
            <w:tcW w:type="dxa" w:w="504"/>
            <w:shd w:val="clear" w:color="auto" w:fill="FFFFFF"/>
            <w:vAlign w:val="top"/>
          </w:tcPr>
          <w:p>
            <w:pPr>
              <w:spacing w:before="40" w:after="40"/>
            </w:pPr>
            <w:r>
              <w:rPr>
                <w:rFonts w:ascii="Times New Roman" w:hAnsi="Times New Roman"/>
                <w:b/>
                <w:i w:val="0"/>
                <w:sz w:val="22"/>
              </w:rPr>
            </w:r>
          </w:p>
        </w:tc>
        <w:tc>
          <w:tcPr>
            <w:tcW w:type="dxa" w:w="4320"/>
            <w:shd w:val="clear" w:color="auto" w:fill="FFFFFF"/>
            <w:vAlign w:val="top"/>
          </w:tcPr>
          <w:p>
            <w:pPr>
              <w:spacing w:before="40" w:after="40"/>
            </w:pPr>
            <w:r>
              <w:rPr>
                <w:rFonts w:ascii="Times New Roman" w:hAnsi="Times New Roman"/>
                <w:b w:val="0"/>
                <w:i w:val="0"/>
                <w:sz w:val="22"/>
              </w:rPr>
              <w:t>Proposal Valid Until</w:t>
            </w:r>
          </w:p>
        </w:tc>
        <w:tc>
          <w:tcPr>
            <w:tcW w:type="dxa" w:w="4478"/>
            <w:shd w:val="clear" w:color="auto" w:fill="FFFFFF"/>
            <w:vAlign w:val="top"/>
          </w:tcPr>
          <w:p>
            <w:pPr>
              <w:spacing w:before="40" w:after="40"/>
            </w:pPr>
            <w:r>
              <w:rPr>
                <w:rFonts w:ascii="Times New Roman" w:hAnsi="Times New Roman"/>
                <w:b w:val="0"/>
                <w:i w:val="0"/>
                <w:sz w:val="22"/>
              </w:rPr>
              <w:t>31 Mar 2026</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This financial proposal is prepared in good faith based on the information provided by the group/employer. The final premium and terms are subject to underwriting review, declaration of actual member count, and acceptance by Pragati Insurance PLC. This proposal is valid for 30 days from the date of issue unless otherwise stated.</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40" w:after="40" w:line="240" w:lineRule="auto"/>
              <w:jc w:val="left"/>
            </w:pPr>
            <w:r>
              <w:rPr>
                <w:rFonts w:ascii="Times New Roman" w:hAnsi="Times New Roman"/>
                <w:b w:val="0"/>
                <w:i w:val="0"/>
                <w:sz w:val="22"/>
              </w:rPr>
              <w:t>Labaid Insuretech Ltd.</w:t>
            </w:r>
          </w:p>
        </w:tc>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t>Shanta Holdings Ltd.</w:t>
            </w:r>
          </w:p>
        </w:tc>
      </w:tr>
      <w:tr>
        <w:tc>
          <w:tcPr>
            <w:tcW w:type="dxa" w:w="3009"/>
            <w:shd w:val="clear" w:color="auto" w:fill="1F3864"/>
          </w:tcPr>
          <w:p>
            <w:pPr>
              <w:spacing w:before="40" w:after="40" w:line="240" w:lineRule="auto"/>
              <w:jc w:val="left"/>
            </w:pPr>
            <w:r>
              <w:rPr>
                <w:rFonts w:ascii="Times New Roman" w:hAnsi="Times New Roman"/>
                <w:b/>
                <w:i w:val="0"/>
                <w:color w:val="FFFFFF"/>
                <w:sz w:val="18"/>
              </w:rPr>
              <w:t>Prepared By (Insuretech / Broker)</w:t>
            </w:r>
          </w:p>
        </w:tc>
        <w:tc>
          <w:tcPr>
            <w:tcW w:type="dxa" w:w="3009"/>
            <w:shd w:val="clear" w:color="auto" w:fill="1F3864"/>
          </w:tcPr>
          <w:p>
            <w:pPr>
              <w:spacing w:before="40" w:after="40" w:line="240" w:lineRule="auto"/>
              <w:jc w:val="left"/>
            </w:pPr>
            <w:r>
              <w:rPr>
                <w:rFonts w:ascii="Times New Roman" w:hAnsi="Times New Roman"/>
                <w:b/>
                <w:i w:val="0"/>
                <w:color w:val="FFFFFF"/>
                <w:sz w:val="18"/>
              </w:rPr>
              <w:t>Authorised Signatory (Insurer)</w:t>
            </w:r>
          </w:p>
        </w:tc>
        <w:tc>
          <w:tcPr>
            <w:tcW w:type="dxa" w:w="3009"/>
            <w:shd w:val="clear" w:color="auto" w:fill="1F3864"/>
          </w:tcPr>
          <w:p>
            <w:pPr>
              <w:spacing w:before="40" w:after="40" w:line="240" w:lineRule="auto"/>
              <w:jc w:val="left"/>
            </w:pPr>
            <w:r>
              <w:rPr>
                <w:rFonts w:ascii="Times New Roman" w:hAnsi="Times New Roman"/>
                <w:b/>
                <w:i w:val="0"/>
                <w:color w:val="FFFFFF"/>
                <w:sz w:val="18"/>
              </w:rPr>
              <w:t>Client Acceptance &amp; Date</w:t>
            </w:r>
          </w:p>
        </w:tc>
      </w:tr>
    </w:tbl>
    <w:p>
      <w:pPr>
        <w:spacing w:after="120"/>
      </w:pPr>
    </w:p>
    <w:p>
      <w:pPr>
        <w:spacing w:before="40" w:after="40" w:line="240" w:lineRule="auto"/>
        <w:jc w:val="left"/>
        <w:pBdr>
          <w:bottom w:val="single" w:sz="6" w:space="1" w:color="1F3864"/>
        </w:pBdr>
      </w:pPr>
    </w:p>
    <w:p>
      <w:pPr>
        <w:spacing w:before="80" w:after="0" w:line="240" w:lineRule="auto"/>
        <w:jc w:val="center"/>
      </w:pPr>
      <w:r>
        <w:rPr>
          <w:rFonts w:ascii="Times New Roman" w:hAnsi="Times New Roman"/>
          <w:b w:val="0"/>
          <w:i/>
          <w:sz w:val="18"/>
        </w:rPr>
        <w:t>Proposal Ref: GLP-SHANTA-2026-001   |   Client: Shanta Holdings Ltd.   |   Generated: 24 Mar 2026 03:29</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