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ECCDF6">
      <w:pPr>
        <w:pStyle w:val="2"/>
      </w:pPr>
      <w:r>
        <w:t>多Agent协作学术论文深度解析系统 —— 需求文档 (PRD)</w:t>
      </w:r>
    </w:p>
    <w:p w14:paraId="622B20D4">
      <w:pPr>
        <w:pStyle w:val="3"/>
      </w:pPr>
      <w:r>
        <w:t>1. 项目概述</w:t>
      </w:r>
    </w:p>
    <w:p w14:paraId="4CDFFA54">
      <w:pPr>
        <w:pStyle w:val="4"/>
      </w:pPr>
      <w:r>
        <w:t>1.1 项目背景与目标</w:t>
      </w:r>
    </w:p>
    <w:p w14:paraId="20C9A33D">
      <w:r>
        <w:t>本项目旨在打造一个基于大语言模型（LLM）驱动的、工业级多Agent协同论文解析与问答系统。用户通过上传PDF格式的学术论文，系统能够自动完成全文本高精解析、结构化拆解、图表多模态深度理解。用户可针对论文进行实验步骤、公式推导、数据对比、期刊引用等全维度严谨提问，系统将基于论文原文提供高保真、无幻觉的答疑服务，确保每一个字的回答都有据可查。</w:t>
      </w:r>
    </w:p>
    <w:p w14:paraId="491398EF">
      <w:pPr>
        <w:pStyle w:val="4"/>
      </w:pPr>
      <w:r>
        <w:t>1.2 核心设计原则</w:t>
      </w:r>
    </w:p>
    <w:p w14:paraId="332EA4AB">
      <w:pPr>
        <w:numPr>
          <w:ilvl w:val="0"/>
          <w:numId w:val="1"/>
        </w:numPr>
        <w:spacing w:before="0"/>
      </w:pPr>
      <w:r>
        <w:rPr>
          <w:b/>
        </w:rPr>
        <w:t>零创造原则（Zero-Hallucination）</w:t>
      </w:r>
      <w:r>
        <w:t>： 宁可回答“论文中未提及”，绝不凭空捏造。答案与原文必须保持高度严谨的相关性。</w:t>
      </w:r>
    </w:p>
    <w:p w14:paraId="45F07435">
      <w:pPr>
        <w:numPr>
          <w:ilvl w:val="0"/>
          <w:numId w:val="1"/>
        </w:numPr>
      </w:pPr>
      <w:r>
        <w:rPr>
          <w:b/>
        </w:rPr>
        <w:t>多模态融合（Multimodal Integration）</w:t>
      </w:r>
      <w:r>
        <w:t>： 图表不仅要“提取”，更要结合上下文和图注（Caption）进行“理解”，消除图文割裂。</w:t>
      </w:r>
    </w:p>
    <w:p w14:paraId="3FCC3DB3">
      <w:pPr>
        <w:numPr>
          <w:ilvl w:val="0"/>
          <w:numId w:val="1"/>
        </w:numPr>
      </w:pPr>
      <w:r>
        <w:rPr>
          <w:b/>
        </w:rPr>
        <w:t>领域泛化性（Domain Agility）</w:t>
      </w:r>
      <w:r>
        <w:t>： 完美兼容计算机、生物医药、物理等不同领域的排版格式（单双栏、通栏、复杂公式）。</w:t>
      </w:r>
    </w:p>
    <w:p w14:paraId="4DEC4937">
      <w:pPr>
        <w:numPr>
          <w:ilvl w:val="0"/>
          <w:numId w:val="1"/>
        </w:numPr>
        <w:spacing w:after="0"/>
      </w:pPr>
      <w:r>
        <w:rPr>
          <w:b/>
        </w:rPr>
        <w:t>工业级鲁棒性（Industrial Robustness）</w:t>
      </w:r>
      <w:r>
        <w:t>： 具备处理扫描件、超长论文、恶意Prompt注入以及Agent结论冲突的防御能力。</w:t>
      </w:r>
    </w:p>
    <w:p w14:paraId="5EF4C516">
      <w:pPr>
        <w:pStyle w:val="3"/>
      </w:pPr>
      <w:r>
        <w:t>2. 系统架构与多Agent角色</w:t>
      </w:r>
      <w:bookmarkStart w:id="0" w:name="_GoBack"/>
      <w:bookmarkEnd w:id="0"/>
      <w:r>
        <w:t>定义</w:t>
      </w:r>
    </w:p>
    <w:p w14:paraId="4305C771">
      <w:r>
        <w:t>系统放弃传统的单管道RAG方案，采用“分布式专家智能体协同架构”。各个Agent通过核心调度中心共享论文上下文，并引入仲裁机制解决信息冲突。</w:t>
      </w:r>
    </w:p>
    <w:p w14:paraId="67A83540">
      <w:pPr>
        <w:pStyle w:val="4"/>
      </w:pPr>
      <w:r>
        <w:t>2.1 Agent角色矩阵</w:t>
      </w:r>
      <w:r>
        <w:br w:type="textWrapping"/>
      </w:r>
      <w:r>
        <w:drawing>
          <wp:inline distT="0" distB="0" distL="114300" distR="114300">
            <wp:extent cx="5272405" cy="3909060"/>
            <wp:effectExtent l="0" t="0" r="1079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Ind w:w="10" w:type="dxa"/>
        <w:tblBorders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377"/>
        <w:gridCol w:w="3145"/>
        <w:gridCol w:w="1692"/>
        <w:gridCol w:w="2402"/>
      </w:tblGrid>
      <w:tr w14:paraId="2DF599EF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69EB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Agent名称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B031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B9C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输入资产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68CFD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Style w:val="8"/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输出资产</w:t>
            </w:r>
          </w:p>
        </w:tc>
      </w:tr>
      <w:tr w14:paraId="0689666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64EC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1. 论文解析与布局清洗Agent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5328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PDF底层解析，识别单双栏、页眉页脚、公式区域，进行无损物理切片。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92074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原始PDF文件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A1D3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结构化文本流、独立图片/表格、公式LaTeX块</w:t>
            </w:r>
          </w:p>
        </w:tc>
      </w:tr>
      <w:tr w14:paraId="1C3A484D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3C25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2. 摘要与结构导读Agent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99B2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深度剖析Abstract，提取研究背景、痛点、创新点，梳理全篇逻辑骨架。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BA3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结构化文本流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A386F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论文核心画像JSON、全篇逻辑大纲</w:t>
            </w:r>
          </w:p>
        </w:tc>
      </w:tr>
      <w:tr w14:paraId="6CA36447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41F07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3. 图表多模态理解Agent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620B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提取Figure和Table，结合图注及正文引用段落，理解图表真实数据含义。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DC77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独立图片/表格 + 上下文文本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9789E8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图表语义描述、表格数据结构化Markdown、图文关联索引</w:t>
            </w:r>
          </w:p>
        </w:tc>
      </w:tr>
      <w:tr w14:paraId="740DF8F4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8E8B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4. 文献与公式追溯Agent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B9F5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提取数学公式，建立变量定义字典；解析References，标记引用期刊及支撑论点。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395CDA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全文文本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3CC9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公式变量字典、参考文献拓扑图</w:t>
            </w:r>
          </w:p>
        </w:tc>
      </w:tr>
      <w:tr w14:paraId="360958DA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DD0932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5. 首席仲裁官Agent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25410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冲突解决核心。</w:t>
            </w: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 xml:space="preserve"> 当各Agent提交的结构化知识存在冲突时，调用原始像素坐标进行视觉二次确认。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35723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存在冲突的Agent数据 + 原始PDF局部像素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1BD1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最终校准后的唯一置信数据</w:t>
            </w:r>
          </w:p>
        </w:tc>
      </w:tr>
      <w:tr w14:paraId="1BF143D6">
        <w:tblPrEx>
          <w:tblBorders>
            <w:top w:val="none" w:color="1F1F1F" w:sz="0" w:space="0"/>
            <w:left w:val="none" w:color="1F1F1F" w:sz="0" w:space="0"/>
            <w:bottom w:val="none" w:color="1F1F1F" w:sz="0" w:space="0"/>
            <w:right w:val="none" w:color="1F1F1F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561D36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6. 严谨性校验与问答Agent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C767E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响应用户提问，对召回片段进行二次反向溯源验证，过滤幻觉，生成高保真回复。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071F5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用户Prompt + 多Agent融合上下文</w:t>
            </w:r>
          </w:p>
        </w:tc>
        <w:tc>
          <w:tcPr>
            <w:tcW w:w="0" w:type="auto"/>
            <w:tcBorders>
              <w:top w:val="single" w:color="C4C7C5" w:sz="4" w:space="0"/>
              <w:left w:val="single" w:color="C4C7C5" w:sz="4" w:space="0"/>
              <w:bottom w:val="single" w:color="C4C7C5" w:sz="4" w:space="0"/>
              <w:right w:val="single" w:color="C4C7C5" w:sz="4" w:space="0"/>
            </w:tcBorders>
            <w:shd w:val="clear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71534"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2" w:lineRule="atLeast"/>
              <w:ind w:left="0" w:right="0"/>
              <w:jc w:val="left"/>
              <w:rPr>
                <w:rFonts w:hint="default" w:ascii="sans-serif" w:hAnsi="sans-serif" w:eastAsia="sans-serif" w:cs="sans-serif"/>
                <w:color w:val="1F1F1F"/>
              </w:rPr>
            </w:pPr>
            <w:r>
              <w:rPr>
                <w:rFonts w:hint="default" w:ascii="sans-serif" w:hAnsi="sans-serif" w:eastAsia="sans-serif" w:cs="sans-serif"/>
                <w:color w:val="1F1F1F"/>
                <w:kern w:val="0"/>
                <w:sz w:val="24"/>
                <w:szCs w:val="24"/>
                <w:bdr w:val="none" w:color="1F1F1F" w:sz="0" w:space="0"/>
                <w:lang w:val="en-US" w:eastAsia="zh-CN" w:bidi="ar"/>
              </w:rPr>
              <w:t>严谨的问答结果（含原文页码与图表指引）</w:t>
            </w:r>
          </w:p>
        </w:tc>
      </w:tr>
    </w:tbl>
    <w:p w14:paraId="699BDE38"/>
    <w:p w14:paraId="6E55F0F2">
      <w:pPr>
        <w:pStyle w:val="3"/>
      </w:pPr>
      <w:r>
        <w:t>3. 核心功能需求与业务流程</w:t>
      </w:r>
    </w:p>
    <w:p w14:paraId="5F66F32A">
      <w:pPr>
        <w:pStyle w:val="4"/>
      </w:pPr>
      <w:r>
        <w:t>3.1 论文导入与数据入库流程</w:t>
      </w:r>
    </w:p>
    <w:p w14:paraId="5D74A3CE">
      <w:r>
        <w:t>当用户上传PDF论文后，系统必须严格按照以下流水线进行多Agent协作处理，严禁错序：</w:t>
      </w:r>
    </w:p>
    <w:p w14:paraId="3A291506">
      <w:pPr>
        <w:numPr>
          <w:ilvl w:val="0"/>
          <w:numId w:val="2"/>
        </w:numPr>
        <w:spacing w:before="0"/>
      </w:pPr>
      <w:r>
        <w:rPr>
          <w:b/>
        </w:rPr>
        <w:t>无损物理切片与布局清洗</w:t>
      </w:r>
      <w:r>
        <w:t>：步骤 1。利用布局识别模型解析PDF，准确剥离页眉、页脚、通栏广告及作者机构信息，将论文切分为标准文本流、独立图片、表格和公式块，避免噪声污染。</w:t>
      </w:r>
    </w:p>
    <w:p w14:paraId="7B73A969">
      <w:pPr>
        <w:numPr>
          <w:ilvl w:val="0"/>
          <w:numId w:val="2"/>
        </w:numPr>
      </w:pPr>
      <w:r>
        <w:rPr>
          <w:b/>
        </w:rPr>
        <w:t>摘要精读与论文画像生成</w:t>
      </w:r>
      <w:r>
        <w:t>：步骤 2。激活摘要与结构导读Agent，深度剖析Abstract，强制提取研究方向（Research Field）、核心痛点（Problem Statement）和创新贡献（Key Contributions），生成“论文身份证”元数据。</w:t>
      </w:r>
    </w:p>
    <w:p w14:paraId="2F8AE316">
      <w:pPr>
        <w:numPr>
          <w:ilvl w:val="0"/>
          <w:numId w:val="2"/>
        </w:numPr>
      </w:pPr>
      <w:r>
        <w:rPr>
          <w:b/>
        </w:rPr>
        <w:t>多模态图文绑定与公式消解</w:t>
      </w:r>
      <w:r>
        <w:t>：步骤 3。抠出所有Figure和Table并抓取对应图注（Caption），反向检索正文中所有含有“see Fig. X”的段落进行深度绑定。同时提取数学公式，并将公式与后文的变量定义段落进行关联。</w:t>
      </w:r>
    </w:p>
    <w:p w14:paraId="3489FFEC">
      <w:pPr>
        <w:numPr>
          <w:ilvl w:val="0"/>
          <w:numId w:val="2"/>
        </w:numPr>
        <w:spacing w:after="0"/>
      </w:pPr>
      <w:r>
        <w:rPr>
          <w:b/>
        </w:rPr>
        <w:t>知识对齐与入库</w:t>
      </w:r>
      <w:r>
        <w:t>：步骤 4。将文本切片、多模态单元、公式字典、文献拓扑图统一送入知识对齐Agent，完成物理坐标与语义层面的双重对齐，最终存入向量数据库与知识图谱。</w:t>
      </w:r>
    </w:p>
    <w:p w14:paraId="2ACD8E2B">
      <w:pPr>
        <w:pStyle w:val="4"/>
      </w:pPr>
      <w:r>
        <w:t>3.2 深度多模态理解细节</w:t>
      </w:r>
    </w:p>
    <w:p w14:paraId="52849863">
      <w:pPr>
        <w:numPr>
          <w:ilvl w:val="0"/>
          <w:numId w:val="3"/>
        </w:numPr>
        <w:spacing w:before="0"/>
      </w:pPr>
      <w:r>
        <w:rPr>
          <w:b/>
        </w:rPr>
        <w:t>【需求】三线表与跨页表格重构</w:t>
      </w:r>
      <w:r>
        <w:t>： 针对学术论文常见的“三线表”（无垂直线）及跨页长表，图表多模态Agent必须利用基于视觉的行列线预测机制，将表格数据转化为带有物理坐标对齐的标准Markdown/HTML表格，严禁让LLM盲猜数据。</w:t>
      </w:r>
    </w:p>
    <w:p w14:paraId="29B37010">
      <w:pPr>
        <w:numPr>
          <w:ilvl w:val="0"/>
          <w:numId w:val="3"/>
        </w:numPr>
        <w:spacing w:after="0"/>
      </w:pPr>
      <w:r>
        <w:rPr>
          <w:b/>
        </w:rPr>
        <w:t>【需求】公式上下文指代消解</w:t>
      </w:r>
      <w:r>
        <w:t xml:space="preserve">： 系统禁止使用固定字符数硬切片。学术段落为最小物理单位。在解析出公式（如 </w:t>
      </w:r>
      <m:oMath>
        <m:r>
          <m:rPr/>
          <w:rPr>
            <w:rFonts w:hint="default" w:ascii="Cambria Math"/>
          </w:rPr>
          <m:t>E=m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c</m:t>
            </m:r>
          </m:e>
          <m:sup>
            <m:r>
              <m:rPr/>
              <w:rPr>
                <w:rFonts w:hint="default" w:ascii="Cambria Math"/>
              </w:rPr>
              <m:t>2</m:t>
            </m:r>
          </m:sup>
        </m:sSup>
      </m:oMath>
      <w:r>
        <w:t>）后，系统必须向该章节后续的3个文本切片中隐式注入变量定义字典，确保切片离散后大模型仍能识别符号含义。</w:t>
      </w:r>
    </w:p>
    <w:p w14:paraId="254BACB5">
      <w:pPr>
        <w:pStyle w:val="4"/>
      </w:pPr>
      <w:r>
        <w:t>3.3 严谨问答交互功能</w:t>
      </w:r>
    </w:p>
    <w:p w14:paraId="3583D88D">
      <w:pPr>
        <w:numPr>
          <w:ilvl w:val="0"/>
          <w:numId w:val="4"/>
        </w:numPr>
        <w:spacing w:before="0"/>
      </w:pPr>
      <w:r>
        <w:rPr>
          <w:b/>
        </w:rPr>
        <w:t>【需求】实验复现级问答</w:t>
      </w:r>
      <w:r>
        <w:t>： 当用户询问“这个实验是怎么做的？”，系统需联动图表多模态Agent与解析Agent，梳理出：实验环境（Baseline）、数据集、控制变量设置、操作步骤。输出必须以步骤列表呈现，且每一步都要标注对应的论文章节页码。</w:t>
      </w:r>
    </w:p>
    <w:p w14:paraId="137F0D83">
      <w:pPr>
        <w:numPr>
          <w:ilvl w:val="0"/>
          <w:numId w:val="4"/>
        </w:numPr>
        <w:spacing w:after="0"/>
      </w:pPr>
      <w:r>
        <w:rPr>
          <w:b/>
        </w:rPr>
        <w:t>【需求】引用期刊追溯</w:t>
      </w:r>
      <w:r>
        <w:t>： 文献与公式Agent需对最后一页的References进行结构化解析。当用户询问“论文都引用了什么其他的期刊？”时，系统需分类统计出该论文主要参考的高水平期刊或会议列表。</w:t>
      </w:r>
    </w:p>
    <w:p w14:paraId="477147BC">
      <w:pPr>
        <w:pStyle w:val="4"/>
      </w:pPr>
      <w:r>
        <w:t>3.4 延伸增值功能</w:t>
      </w:r>
    </w:p>
    <w:p w14:paraId="78B8BC85">
      <w:pPr>
        <w:numPr>
          <w:ilvl w:val="0"/>
          <w:numId w:val="5"/>
        </w:numPr>
        <w:spacing w:before="0"/>
      </w:pPr>
      <w:r>
        <w:rPr>
          <w:b/>
        </w:rPr>
        <w:t>【需求】跨论文一键对比矩阵</w:t>
      </w:r>
      <w:r>
        <w:t>： 支持用户多选已解析的论文，系统自动横向输出对比表格，维度包括：核心算法、实验数据集、主要性能指标、最大局限性。</w:t>
      </w:r>
    </w:p>
    <w:p w14:paraId="3ABFB973">
      <w:pPr>
        <w:numPr>
          <w:ilvl w:val="0"/>
          <w:numId w:val="5"/>
        </w:numPr>
        <w:spacing w:after="0"/>
      </w:pPr>
      <w:r>
        <w:rPr>
          <w:b/>
        </w:rPr>
        <w:t>【需求】结构化汇报生成流</w:t>
      </w:r>
      <w:r>
        <w:t xml:space="preserve">： 论文解析完成后，系统应支持“一键生成研报/PPT大纲”功能，将全篇论文重构为演讲逻辑（研究背景 </w:t>
      </w:r>
      <m:oMath>
        <m:r>
          <m:rPr/>
          <w:rPr>
            <w:rFonts w:hint="default" w:ascii="Cambria Math"/>
          </w:rPr>
          <m:t>→</m:t>
        </m:r>
      </m:oMath>
      <w:r>
        <w:t xml:space="preserve"> 痛点 </w:t>
      </w:r>
      <m:oMath>
        <m:r>
          <m:rPr/>
          <w:rPr>
            <w:rFonts w:hint="default" w:ascii="Cambria Math"/>
          </w:rPr>
          <m:t>→</m:t>
        </m:r>
      </m:oMath>
      <w:r>
        <w:t xml:space="preserve"> 本文方法 </w:t>
      </w:r>
      <m:oMath>
        <m:r>
          <m:rPr/>
          <w:rPr>
            <w:rFonts w:hint="default" w:ascii="Cambria Math"/>
          </w:rPr>
          <m:t>→</m:t>
        </m:r>
      </m:oMath>
      <w:r>
        <w:t xml:space="preserve"> 实验数据 </w:t>
      </w:r>
      <m:oMath>
        <m:r>
          <m:rPr/>
          <w:rPr>
            <w:rFonts w:hint="default" w:ascii="Cambria Math"/>
          </w:rPr>
          <m:t>→</m:t>
        </m:r>
      </m:oMath>
      <w:r>
        <w:t xml:space="preserve"> 未来展望）。</w:t>
      </w:r>
    </w:p>
    <w:p w14:paraId="631E83E2">
      <w:pPr>
        <w:pStyle w:val="3"/>
      </w:pPr>
      <w:r>
        <w:t>4. 严谨性控制与工程防御机制（防幻觉/防挂卡）</w:t>
      </w:r>
    </w:p>
    <w:p w14:paraId="58F0D28C">
      <w:pPr>
        <w:pStyle w:val="4"/>
      </w:pPr>
      <w:r>
        <w:t>4.1 双向证据链溯源机制（Dual-Check RAG）</w:t>
      </w:r>
    </w:p>
    <w:p w14:paraId="6811A375">
      <w:pPr>
        <w:numPr>
          <w:ilvl w:val="0"/>
          <w:numId w:val="6"/>
        </w:numPr>
        <w:spacing w:before="0"/>
      </w:pPr>
      <w:r>
        <w:rPr>
          <w:b/>
        </w:rPr>
        <w:t>正向检索</w:t>
      </w:r>
      <w:r>
        <w:t xml:space="preserve">： 用户提问 </w:t>
      </w:r>
      <m:oMath>
        <m:r>
          <m:rPr/>
          <w:rPr>
            <w:rFonts w:hint="default" w:ascii="Cambria Math"/>
          </w:rPr>
          <m:t>→</m:t>
        </m:r>
      </m:oMath>
      <w:r>
        <w:t xml:space="preserve"> 向量库检索相关文本与图表 </w:t>
      </w:r>
      <m:oMath>
        <m:r>
          <m:rPr/>
          <w:rPr>
            <w:rFonts w:hint="default" w:ascii="Cambria Math"/>
          </w:rPr>
          <m:t>→</m:t>
        </m:r>
      </m:oMath>
      <w:r>
        <w:t xml:space="preserve"> 提交给问答Agent。</w:t>
      </w:r>
    </w:p>
    <w:p w14:paraId="4F8533A1">
      <w:pPr>
        <w:numPr>
          <w:ilvl w:val="0"/>
          <w:numId w:val="6"/>
        </w:numPr>
      </w:pPr>
      <w:r>
        <w:rPr>
          <w:b/>
        </w:rPr>
        <w:t>反向校验</w:t>
      </w:r>
      <w:r>
        <w:t>： 问答Agent在草拟出答案后，必须将答案中的核心论点（数据、结论）重新送回原文中进行精确字符或语义匹配。</w:t>
      </w:r>
    </w:p>
    <w:p w14:paraId="6713E727">
      <w:pPr>
        <w:numPr>
          <w:ilvl w:val="0"/>
          <w:numId w:val="6"/>
        </w:numPr>
      </w:pPr>
      <w:r>
        <w:rPr>
          <w:b/>
        </w:rPr>
        <w:t>熔断机制</w:t>
      </w:r>
      <w:r>
        <w:t>： 如果发现某一段结论在原文中找不到任何“显式支撑”，系统必须剔除该段答案，并在最终输出中提示：“基于论文原文，未找到关于该细节的直接描述”。</w:t>
      </w:r>
    </w:p>
    <w:p w14:paraId="18043DFD">
      <w:pPr>
        <w:numPr>
          <w:ilvl w:val="0"/>
          <w:numId w:val="6"/>
        </w:numPr>
      </w:pPr>
      <w:r>
        <w:rPr>
          <w:b/>
        </w:rPr>
        <w:t>回复格式规范化</w:t>
      </w:r>
      <w:r>
        <w:t>： 统一采用 【结论 + 证据链（Citing）】 的格式输出，示例如下：</w:t>
      </w:r>
    </w:p>
    <w:p w14:paraId="6101A13F">
      <w:r>
        <w:t>Agent回复： 该模型的准确率比前代提升了 3.5%。</w:t>
      </w:r>
    </w:p>
    <w:p w14:paraId="333F77EE">
      <w:r>
        <w:t>[证据链]：</w:t>
      </w:r>
    </w:p>
    <w:p w14:paraId="4E6F8785">
      <w:pPr>
        <w:numPr>
          <w:ilvl w:val="1"/>
          <w:numId w:val="6"/>
        </w:numPr>
        <w:spacing w:before="0" w:after="0"/>
      </w:pPr>
      <w:r>
        <w:t>文字支撑：见论文第5页，第4章第2段：“...our proposed method outperforms the baseline by 3.5%...”</w:t>
      </w:r>
    </w:p>
    <w:p w14:paraId="1ACE5623">
      <w:pPr>
        <w:numPr>
          <w:ilvl w:val="1"/>
          <w:numId w:val="6"/>
        </w:numPr>
        <w:spacing w:before="0" w:after="0"/>
      </w:pPr>
      <w:r>
        <w:t>图表支撑：见论文第6页 Figure 4 柱状图第三列数据。</w:t>
      </w:r>
    </w:p>
    <w:p w14:paraId="17F26F02">
      <w:pPr>
        <w:pStyle w:val="4"/>
      </w:pPr>
      <w:r>
        <w:t>4.2 异常边界与安全性防御</w:t>
      </w:r>
    </w:p>
    <w:p w14:paraId="28E7F7B6">
      <w:pPr>
        <w:numPr>
          <w:ilvl w:val="0"/>
          <w:numId w:val="7"/>
        </w:numPr>
        <w:spacing w:before="0"/>
      </w:pPr>
      <w:r>
        <w:rPr>
          <w:b/>
        </w:rPr>
        <w:t>【防扫描件坑】双层PDF自动降级</w:t>
      </w:r>
      <w:r>
        <w:t>： 系统检测到PDF底层文字无法复制时，必须自动启动高精度OCR引擎（如PaddleOCR）进行二次解析，并强制打上“扫描件，置信度略有下降”的标签。</w:t>
      </w:r>
    </w:p>
    <w:p w14:paraId="41F3C4B8">
      <w:pPr>
        <w:numPr>
          <w:ilvl w:val="0"/>
          <w:numId w:val="7"/>
        </w:numPr>
      </w:pPr>
      <w:r>
        <w:rPr>
          <w:b/>
        </w:rPr>
        <w:t>【防超长论文坑】极端长文内存熔断</w:t>
      </w:r>
      <w:r>
        <w:t>： 超过30页的学位论文或综述，系统需在上传时提示用户选择“快速抽样模式（仅解析目录+摘要+结论）”或“深度全量模式”，防止Token爆表。</w:t>
      </w:r>
    </w:p>
    <w:p w14:paraId="02559247">
      <w:pPr>
        <w:numPr>
          <w:ilvl w:val="0"/>
          <w:numId w:val="7"/>
        </w:numPr>
        <w:spacing w:after="0"/>
      </w:pPr>
      <w:r>
        <w:rPr>
          <w:b/>
        </w:rPr>
        <w:t>【防恶意注入】Prompt注入防御</w:t>
      </w:r>
      <w:r>
        <w:t>： 系统的严谨性校验Agent在读取PDF切片数据时，必须将原文数据作为 User Base Data 传入，与系统的 System Prompt（控制指令）进行严格的权限隔离，免疫PDF文本中暗藏的恶意劫持指令。</w:t>
      </w:r>
    </w:p>
    <w:p w14:paraId="1108E90A">
      <w:pPr>
        <w:pStyle w:val="3"/>
      </w:pPr>
      <w:r>
        <w:t>5. 非功能性需求与性能指标</w:t>
      </w:r>
    </w:p>
    <w:p w14:paraId="43AE447A">
      <w:pPr>
        <w:pStyle w:val="4"/>
      </w:pPr>
      <w:r>
        <w:t>5.1 准确率与置信度</w:t>
      </w:r>
    </w:p>
    <w:p w14:paraId="79FC6F6F">
      <w:pPr>
        <w:numPr>
          <w:ilvl w:val="0"/>
          <w:numId w:val="8"/>
        </w:numPr>
        <w:spacing w:before="0"/>
      </w:pPr>
      <w:r>
        <w:rPr>
          <w:b/>
        </w:rPr>
        <w:t>真实性率（Factuality Rate）</w:t>
      </w:r>
      <w:r>
        <w:t>： 在严谨问答模式下，由于幻觉产生的错误率必须小于 1%（允许由于原文未提及而拒绝回答）。</w:t>
      </w:r>
    </w:p>
    <w:p w14:paraId="507E2B1A">
      <w:pPr>
        <w:numPr>
          <w:ilvl w:val="0"/>
          <w:numId w:val="8"/>
        </w:numPr>
        <w:spacing w:after="0"/>
      </w:pPr>
      <w:r>
        <w:rPr>
          <w:b/>
        </w:rPr>
        <w:t>图表解析完整度</w:t>
      </w:r>
      <w:r>
        <w:t>： 论文中的插图、表格漏检率小于 3%，图注与正文引用绑定正确率大于 95%。</w:t>
      </w:r>
    </w:p>
    <w:p w14:paraId="71ACCC83">
      <w:pPr>
        <w:pStyle w:val="4"/>
      </w:pPr>
      <w:r>
        <w:t>5.2 响应时效（Latency）</w:t>
      </w:r>
    </w:p>
    <w:p w14:paraId="4E9F6E71">
      <w:pPr>
        <w:numPr>
          <w:ilvl w:val="0"/>
          <w:numId w:val="9"/>
        </w:numPr>
        <w:spacing w:before="0"/>
      </w:pPr>
      <w:r>
        <w:rPr>
          <w:b/>
        </w:rPr>
        <w:t>冷启动解析时效</w:t>
      </w:r>
      <w:r>
        <w:t>： 一篇15页的含图表标准论文，多Agent协同处理、完成多模态对齐并建库的总时间应在 60秒 以内。</w:t>
      </w:r>
    </w:p>
    <w:p w14:paraId="78694DBB">
      <w:pPr>
        <w:numPr>
          <w:ilvl w:val="0"/>
          <w:numId w:val="9"/>
        </w:numPr>
        <w:spacing w:after="0"/>
      </w:pPr>
      <w:r>
        <w:rPr>
          <w:b/>
        </w:rPr>
        <w:t>问答交互时效</w:t>
      </w:r>
      <w:r>
        <w:t>： 单次问答交互的检索与校验延迟在 3秒 以内，并支持流式（Streaming）文本输出。</w:t>
      </w:r>
    </w:p>
    <w:p w14:paraId="63483888">
      <w:pPr>
        <w:pStyle w:val="4"/>
      </w:pPr>
      <w:r>
        <w:t>5.3 安全与隐私约束</w:t>
      </w:r>
    </w:p>
    <w:p w14:paraId="0CB4EFFD">
      <w:r>
        <w:t>由于上传的论文可能涉及未发表的科研成果或商业机密，系统必须支持全本地化私有部署（包括向量数据库、多模态解析模型及大语言模型内核），严禁将用户上传的数据流向公网进行二次训练。</w:t>
      </w:r>
    </w:p>
    <w:p w14:paraId="398FC22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7AD33AC">
      <w:pPr>
        <w:numPr>
          <w:ilvl w:val="0"/>
          <w:numId w:val="11"/>
        </w:numPr>
        <w:spacing w:before="0" w:after="0"/>
      </w:pPr>
      <w:r>
        <w:rPr>
          <w:b/>
        </w:rPr>
        <w:t>零创造原则（Zero-Hallucination）</w:t>
      </w:r>
      <w:r>
        <w:t>： 宁可回答“论文中未提及”，绝不凭空捏造。答案与原文必须保持高度严谨的相关性。</w:t>
      </w:r>
    </w:p>
    <w:p w14:paraId="0770B8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CA3004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5B5DBE1">
      <w:pPr>
        <w:numPr>
          <w:ilvl w:val="0"/>
          <w:numId w:val="12"/>
        </w:numPr>
        <w:spacing w:before="0" w:after="0"/>
      </w:pPr>
      <w:r>
        <w:rPr>
          <w:b/>
        </w:rPr>
        <w:t>多模态融合（Multimodal Integration）</w:t>
      </w:r>
      <w:r>
        <w:t>： 图表不仅要“提取”，更要结合上下文和图注（Caption）进行“理解”，消除图文割裂。</w:t>
      </w:r>
    </w:p>
    <w:p w14:paraId="7CC6045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AD6B17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A8145E4">
      <w:pPr>
        <w:numPr>
          <w:ilvl w:val="0"/>
          <w:numId w:val="13"/>
        </w:numPr>
        <w:spacing w:before="0" w:after="0"/>
      </w:pPr>
      <w:r>
        <w:rPr>
          <w:b/>
        </w:rPr>
        <w:t>领域泛化性（Domain Agility）</w:t>
      </w:r>
      <w:r>
        <w:t>： 完美兼容计算机、生物医药、物理等不同领域的排版格式（单双栏、通栏、复杂公式）。</w:t>
      </w:r>
    </w:p>
    <w:p w14:paraId="348189F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6874D31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1DDDE16">
      <w:pPr>
        <w:numPr>
          <w:ilvl w:val="0"/>
          <w:numId w:val="14"/>
        </w:numPr>
        <w:spacing w:before="0" w:after="0"/>
      </w:pPr>
      <w:r>
        <w:rPr>
          <w:b/>
        </w:rPr>
        <w:t>工业级鲁棒性（Industrial Robustness）</w:t>
      </w:r>
      <w:r>
        <w:t>： 具备处理扫描件、超长论文、恶意Prompt注入以及Agent结论冲突的防御能力。</w:t>
      </w:r>
    </w:p>
    <w:p w14:paraId="3521BD2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tbl>
      <w:tblPr>
        <w:tblW w:w="10060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75"/>
        <w:gridCol w:w="3058"/>
        <w:gridCol w:w="2172"/>
        <w:gridCol w:w="1755"/>
      </w:tblGrid>
      <w:tr w14:paraId="72286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303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565B1">
            <w:pPr>
              <w:pStyle w:val="3"/>
              <w:snapToGrid w:val="0"/>
              <w:ind w:left="0" w:leftChars="0" w:right="0" w:rightChars="0" w:firstLine="0" w:firstLineChars="0"/>
              <w:jc w:val="center"/>
              <w:rPr>
                <w:rFonts w:hint="default" w:ascii="宋体" w:hAnsi="sans-serif" w:eastAsia="宋体" w:cs="sans-serif"/>
                <w:b/>
                <w:sz w:val="36"/>
              </w:rPr>
            </w:pPr>
            <w:r>
              <w:rPr>
                <w:rFonts w:ascii="宋体" w:eastAsia="宋体"/>
                <w:b/>
                <w:sz w:val="36"/>
              </w:rPr>
              <w:t>2.系统架构与多Agent角色定义系统放弃传统的单管道RAG方案，采用“分布式专家智能体协同架构”。各个Agent通过核心调度中心共享论文上下文，并引入仲裁机制解决信息冲突。2.1Agent角色矩阵</w:t>
            </w:r>
            <w:r>
              <w:rPr>
                <w:rStyle w:val="8"/>
                <w:rFonts w:hint="default" w:ascii="宋体" w:hAnsi="sans-serif" w:eastAsia="宋体" w:cs="sans-serif"/>
                <w:b/>
                <w:kern w:val="0"/>
                <w:sz w:val="36"/>
                <w:szCs w:val="24"/>
                <w:bdr w:val="none" w:color="auto" w:sz="0" w:space="0"/>
                <w:lang w:val="en-US" w:eastAsia="zh-CN" w:bidi="ar"/>
              </w:rPr>
              <w:t>Agent名称</w:t>
            </w:r>
          </w:p>
        </w:tc>
        <w:tc>
          <w:tcPr>
            <w:tcW w:w="0" w:type="auto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C6FD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sans-serif" w:eastAsia="宋体" w:cs="sans-serif"/>
                <w:b/>
                <w:sz w:val="36"/>
              </w:rPr>
            </w:pPr>
            <w:r>
              <w:rPr>
                <w:rStyle w:val="8"/>
                <w:rFonts w:hint="default" w:ascii="宋体" w:hAnsi="sans-serif" w:eastAsia="宋体" w:cs="sans-serif"/>
                <w:b/>
                <w:kern w:val="0"/>
                <w:sz w:val="36"/>
                <w:szCs w:val="24"/>
                <w:bdr w:val="none" w:color="auto" w:sz="0" w:space="0"/>
                <w:lang w:val="en-US" w:eastAsia="zh-CN" w:bidi="ar"/>
              </w:rPr>
              <w:t>核心职责</w:t>
            </w:r>
          </w:p>
        </w:tc>
        <w:tc>
          <w:tcPr>
            <w:tcW w:w="0" w:type="auto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E73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sans-serif" w:eastAsia="宋体" w:cs="sans-serif"/>
                <w:b/>
                <w:sz w:val="36"/>
              </w:rPr>
            </w:pPr>
            <w:r>
              <w:rPr>
                <w:rStyle w:val="8"/>
                <w:rFonts w:hint="default" w:ascii="宋体" w:hAnsi="sans-serif" w:eastAsia="宋体" w:cs="sans-serif"/>
                <w:b/>
                <w:kern w:val="0"/>
                <w:sz w:val="36"/>
                <w:szCs w:val="24"/>
                <w:bdr w:val="none" w:color="auto" w:sz="0" w:space="0"/>
                <w:lang w:val="en-US" w:eastAsia="zh-CN" w:bidi="ar"/>
              </w:rPr>
              <w:t>输入资产</w:t>
            </w:r>
          </w:p>
        </w:tc>
        <w:tc>
          <w:tcPr>
            <w:tcW w:w="1710" w:type="dxa"/>
            <w:tcBorders>
              <w:top w:val="single" w:color="C4C7C5" w:sz="12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2E61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宋体" w:hAnsi="sans-serif" w:eastAsia="宋体" w:cs="sans-serif"/>
                <w:b/>
                <w:sz w:val="36"/>
              </w:rPr>
            </w:pPr>
            <w:r>
              <w:rPr>
                <w:rStyle w:val="8"/>
                <w:rFonts w:hint="default" w:ascii="宋体" w:hAnsi="sans-serif" w:eastAsia="宋体" w:cs="sans-serif"/>
                <w:b/>
                <w:kern w:val="0"/>
                <w:sz w:val="36"/>
                <w:szCs w:val="24"/>
                <w:bdr w:val="none" w:color="auto" w:sz="0" w:space="0"/>
                <w:lang w:val="en-US" w:eastAsia="zh-CN" w:bidi="ar"/>
              </w:rPr>
              <w:t>输出资产</w:t>
            </w:r>
          </w:p>
        </w:tc>
      </w:tr>
      <w:tr w14:paraId="4412E0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99F0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论文解析与布局清洗Agent</w:t>
            </w:r>
          </w:p>
        </w:tc>
        <w:tc>
          <w:tcPr>
            <w:tcW w:w="0" w:type="auto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3F2C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PDF底层解析，识别单双栏、页眉页脚、公式区域，进行无损物理切片。</w:t>
            </w:r>
          </w:p>
        </w:tc>
        <w:tc>
          <w:tcPr>
            <w:tcW w:w="0" w:type="auto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B3E3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原始PDF文件</w:t>
            </w:r>
          </w:p>
        </w:tc>
        <w:tc>
          <w:tcPr>
            <w:tcW w:w="1710" w:type="dxa"/>
            <w:tcBorders>
              <w:top w:val="single" w:color="C4C7C5" w:sz="4" w:space="0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6EF58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结构化文本流、独立图片/表格、公式LaTeX块</w:t>
            </w:r>
          </w:p>
        </w:tc>
      </w:tr>
      <w:tr w14:paraId="35AF6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723FF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2. 摘要与结构导读Agent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4DD7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深度剖析Abstract，提取研究背景、痛点、创新点，梳理全篇逻辑骨架。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079B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结构化文本流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C487A2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论文核心画像JSON、全篇逻辑大纲</w:t>
            </w:r>
          </w:p>
        </w:tc>
      </w:tr>
      <w:tr w14:paraId="3E6BF7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914F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3. 图表多模态理解Agent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7CBA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提取Figure和Table，结合图注及正文引用段落，理解图表真实数据含义。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29C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独立图片/表格 + 上下文文本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C87CE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图表语义描述、表格数据结构化Markdown、图文关联索引</w:t>
            </w:r>
          </w:p>
        </w:tc>
      </w:tr>
      <w:tr w14:paraId="6E5B17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BBC9D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4. 文献与公式追溯Agent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82378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提取数学公式，建立变量定义字典；解析References，标记引用期刊及支撑论点。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33A45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全文文本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007F0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公式变量字典、参考文献拓扑图</w:t>
            </w:r>
          </w:p>
        </w:tc>
      </w:tr>
      <w:tr w14:paraId="42440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8759A5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5. 首席仲裁官Agent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2C66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冲突解决核心。</w:t>
            </w: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当各Agent提交的结构化知识存在冲突时，调用原始像素坐标进行视觉二次确认。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5764B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存在冲突的Agent数据 + 原始PDF局部像素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EAA12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最终校准后的唯一置信数据</w:t>
            </w:r>
          </w:p>
        </w:tc>
      </w:tr>
      <w:tr w14:paraId="09BCD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303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C8F939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b/>
                <w:bCs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6. 严谨性校验与问答Agent</w:t>
            </w:r>
          </w:p>
        </w:tc>
        <w:tc>
          <w:tcPr>
            <w:tcW w:w="3028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E0D4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center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响应用户提问，对召回片段进行二次反向溯源验证，过滤幻觉，生成高保真回复。</w:t>
            </w:r>
          </w:p>
        </w:tc>
        <w:tc>
          <w:tcPr>
            <w:tcW w:w="2142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A8CCA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用户Prompt + 多Agent融合上下文</w:t>
            </w:r>
          </w:p>
        </w:tc>
        <w:tc>
          <w:tcPr>
            <w:tcW w:w="1710" w:type="dxa"/>
            <w:tcBorders>
              <w:top w:val="nil"/>
              <w:left w:val="nil"/>
              <w:bottom w:val="single" w:color="C4C7C5" w:sz="12" w:space="0"/>
              <w:right w:val="nil"/>
            </w:tcBorders>
            <w:shd w:val="clear"/>
            <w:noWrap w:val="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EA113">
            <w:pPr>
              <w:keepNext w:val="0"/>
              <w:keepLines w:val="0"/>
              <w:widowControl/>
              <w:suppressLineNumbers w:val="0"/>
              <w:snapToGrid w:val="0"/>
              <w:spacing w:before="0" w:beforeAutospacing="0" w:line="240" w:lineRule="auto"/>
              <w:ind w:left="0" w:leftChars="0" w:right="0" w:rightChars="0" w:firstLine="0" w:firstLineChars="0"/>
              <w:jc w:val="left"/>
              <w:rPr>
                <w:rFonts w:hint="default" w:ascii="sans-serif" w:hAnsi="sans-serif" w:eastAsia="sans-serif" w:cs="sans-serif"/>
                <w:sz w:val="24"/>
              </w:rPr>
            </w:pPr>
            <w:r>
              <w:rPr>
                <w:rFonts w:hint="default" w:ascii="sans-serif" w:hAnsi="sans-serif" w:eastAsia="sans-serif" w:cs="sans-serif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严谨的问答结果（含原文页码与图表指引）</w:t>
            </w:r>
          </w:p>
        </w:tc>
      </w:tr>
    </w:tbl>
    <w:p w14:paraId="20780901">
      <w:pPr>
        <w:pStyle w:val="3"/>
      </w:pPr>
      <w:r>
        <w:t>3. 核心功能需求与业务流程</w:t>
      </w:r>
    </w:p>
    <w:p w14:paraId="74068E00">
      <w:pPr>
        <w:pStyle w:val="4"/>
      </w:pPr>
      <w:r>
        <w:t>3.1 论文导入与数据入库流程</w:t>
      </w:r>
    </w:p>
    <w:p w14:paraId="02CDC276">
      <w:r>
        <w:t>当用户上传PDF论文后，系统必须严格按照以下流水线进行多Agent协作处理，严禁错序：</w:t>
      </w:r>
    </w:p>
    <w:p w14:paraId="00FEB2F5">
      <w:pPr>
        <w:numPr>
          <w:ilvl w:val="0"/>
          <w:numId w:val="15"/>
        </w:numPr>
        <w:spacing w:before="0"/>
      </w:pPr>
      <w:r>
        <w:rPr>
          <w:b/>
        </w:rPr>
        <w:t>无损物理切片与布局清洗</w:t>
      </w:r>
      <w:r>
        <w:t>：步骤 1。利用布局识别模型解析PDF，准确剥离页眉、页脚、通栏广告及作者机构信息，将论文切分为标准文本流、独立图片、表格和公式块，避免噪声污染。</w:t>
      </w:r>
    </w:p>
    <w:p w14:paraId="34514EE2">
      <w:pPr>
        <w:numPr>
          <w:ilvl w:val="0"/>
          <w:numId w:val="15"/>
        </w:numPr>
      </w:pPr>
      <w:r>
        <w:rPr>
          <w:b/>
        </w:rPr>
        <w:t>摘要精读与论文画像生成</w:t>
      </w:r>
      <w:r>
        <w:t>：步骤 2。激活摘要与结构导读Agent，深度剖析Abstract，强制提取研究方向（Research Field）、核心痛点（Problem Statement）和创新贡献（Key Contributions），生成“论文身份证”元数据。</w:t>
      </w:r>
    </w:p>
    <w:p w14:paraId="44B06302">
      <w:pPr>
        <w:numPr>
          <w:ilvl w:val="0"/>
          <w:numId w:val="15"/>
        </w:numPr>
      </w:pPr>
      <w:r>
        <w:rPr>
          <w:b/>
        </w:rPr>
        <w:t>多模态图文绑定与公式消解</w:t>
      </w:r>
      <w:r>
        <w:t>：步骤 3。抠出所有Figure和Table并抓取对应图注（Caption），反向检索正文中所有含有“see Fig. X”的段落进行深度绑定。同时提取数学公式，并将公式与后文的变量定义段落进行关联。</w:t>
      </w:r>
    </w:p>
    <w:p w14:paraId="27FCF332">
      <w:pPr>
        <w:numPr>
          <w:ilvl w:val="0"/>
          <w:numId w:val="15"/>
        </w:numPr>
        <w:spacing w:after="0"/>
      </w:pPr>
      <w:r>
        <w:rPr>
          <w:b/>
        </w:rPr>
        <w:t>知识对齐与入库</w:t>
      </w:r>
      <w:r>
        <w:t>：步骤 4。将文本切片、多模态单元、公式字典、文献拓扑图统一送入知识对齐Agent，完成物理坐标与语义层面的双重对齐，最终存入向量数据库与知识图谱。</w:t>
      </w:r>
    </w:p>
    <w:p w14:paraId="51872827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DF9E060">
      <w:pPr>
        <w:numPr>
          <w:ilvl w:val="0"/>
          <w:numId w:val="17"/>
        </w:numPr>
        <w:spacing w:before="0" w:after="0"/>
      </w:pPr>
      <w:r>
        <w:rPr>
          <w:b/>
        </w:rPr>
        <w:t>【需求】三线表与跨页表格重构</w:t>
      </w:r>
      <w:r>
        <w:t>： 针对学术论文常见的“三线表”（无垂直线）及跨页长表，图表多模态Agent必须利用基于视觉的行列线预测机制，将表格数据转化为带有物理坐标对齐的标准Markdown/HTML表格，严禁让LLM盲猜数据。</w:t>
      </w:r>
    </w:p>
    <w:p w14:paraId="3F5272A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9EBB7A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C7D3355">
      <w:pPr>
        <w:numPr>
          <w:ilvl w:val="0"/>
          <w:numId w:val="18"/>
        </w:numPr>
        <w:spacing w:before="0" w:after="0"/>
      </w:pPr>
      <w:r>
        <w:rPr>
          <w:b/>
        </w:rPr>
        <w:t>【需求】公式上下文指代消解</w:t>
      </w:r>
      <w:r>
        <w:t xml:space="preserve">： 系统禁止使用固定字符数硬切片。学术段落为最小物理单位。在解析出公式（如 </w:t>
      </w:r>
      <m:oMath>
        <m:r>
          <m:rPr/>
          <w:rPr>
            <w:rFonts w:hint="default" w:ascii="Cambria Math"/>
          </w:rPr>
          <m:t>E=m</m:t>
        </m:r>
        <m:sSup>
          <m:sSupPr>
            <m:ctrlPr>
              <w:rPr>
                <w:rFonts w:hint="default" w:ascii="Cambria Math"/>
              </w:rPr>
            </m:ctrlPr>
          </m:sSupPr>
          <m:e>
            <m:r>
              <m:rPr/>
              <w:rPr>
                <w:rFonts w:hint="default" w:ascii="Cambria Math"/>
              </w:rPr>
              <m:t>c</m:t>
            </m:r>
          </m:e>
          <m:sup>
            <m:r>
              <m:rPr/>
              <w:rPr>
                <w:rFonts w:hint="default" w:ascii="Cambria Math"/>
              </w:rPr>
              <m:t>2</m:t>
            </m:r>
          </m:sup>
        </m:sSup>
      </m:oMath>
      <w:r>
        <w:t>）后，系统必须向该章节后续的3个文本切片中隐式注入变量定义字典，确保切片离散后大模型仍能识别符号含义。</w:t>
      </w:r>
    </w:p>
    <w:p w14:paraId="79253C0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ECE6B8B">
      <w:pPr>
        <w:pStyle w:val="4"/>
      </w:pPr>
      <w:r>
        <w:t>3.3 严谨问答交互功能</w:t>
      </w:r>
    </w:p>
    <w:p w14:paraId="10459AC2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7B0F2C4">
      <w:pPr>
        <w:numPr>
          <w:ilvl w:val="0"/>
          <w:numId w:val="20"/>
        </w:numPr>
        <w:spacing w:before="0" w:after="0"/>
      </w:pPr>
      <w:r>
        <w:rPr>
          <w:b/>
        </w:rPr>
        <w:t>【需求】实验复现级问答</w:t>
      </w:r>
      <w:r>
        <w:t>： 当用户询问“这个实验是怎么做的？”，系统需联动图表多模态Agent与解析Agent，梳理出：实验环境（Baseline）、数据集、控制变量设置、操作步骤。输出必须以步骤列表呈现，且每一步都要标注对应的论文章节页码。</w:t>
      </w:r>
    </w:p>
    <w:p w14:paraId="39CCD5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66E7E8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8CA88B5">
      <w:pPr>
        <w:numPr>
          <w:ilvl w:val="0"/>
          <w:numId w:val="21"/>
        </w:numPr>
        <w:spacing w:before="0" w:after="0"/>
      </w:pPr>
      <w:r>
        <w:rPr>
          <w:b/>
        </w:rPr>
        <w:t>【需求】引用期刊追溯</w:t>
      </w:r>
      <w:r>
        <w:t>： 文献与公式Agent需对最后一页的References进行结构化解析。当用户询问“论文都引用了什么其他的期刊？”时，系统需分类统计出该论文主要参考的高水平期刊或会议列表。</w:t>
      </w:r>
    </w:p>
    <w:p w14:paraId="59E9919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798FA80">
      <w:pPr>
        <w:pStyle w:val="4"/>
      </w:pPr>
      <w:r>
        <w:t>3.4 延伸增值功能</w:t>
      </w:r>
    </w:p>
    <w:p w14:paraId="11A1CF32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BE33F88">
      <w:pPr>
        <w:numPr>
          <w:ilvl w:val="0"/>
          <w:numId w:val="23"/>
        </w:numPr>
        <w:spacing w:before="0" w:after="0"/>
      </w:pPr>
      <w:r>
        <w:rPr>
          <w:b/>
        </w:rPr>
        <w:t>【需求】跨论文一键对比矩阵</w:t>
      </w:r>
      <w:r>
        <w:t>： 支持用户多选已解析的论文，系统自动横向输出对比表格，维度包括：核心算法、实验数据集、主要性能指标、最大局限性。</w:t>
      </w:r>
    </w:p>
    <w:p w14:paraId="419AA93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7C237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F3E634B">
      <w:pPr>
        <w:numPr>
          <w:ilvl w:val="0"/>
          <w:numId w:val="24"/>
        </w:numPr>
        <w:spacing w:before="0" w:after="0"/>
      </w:pPr>
      <w:r>
        <w:rPr>
          <w:b/>
        </w:rPr>
        <w:t>【需求】结构化汇报生成流</w:t>
      </w:r>
      <w:r>
        <w:t xml:space="preserve">： 论文解析完成后，系统应支持“一键生成研报/PPT大纲”功能，将全篇论文重构为演讲逻辑（研究背景 </w:t>
      </w:r>
      <m:oMath>
        <m:r>
          <m:rPr/>
          <w:rPr>
            <w:rFonts w:hint="default" w:ascii="Cambria Math"/>
          </w:rPr>
          <m:t>→</m:t>
        </m:r>
      </m:oMath>
      <w:r>
        <w:t xml:space="preserve"> 痛点 </w:t>
      </w:r>
      <m:oMath>
        <m:r>
          <m:rPr/>
          <w:rPr>
            <w:rFonts w:hint="default" w:ascii="Cambria Math"/>
          </w:rPr>
          <m:t>→</m:t>
        </m:r>
      </m:oMath>
      <w:r>
        <w:t xml:space="preserve"> 本文方法 </w:t>
      </w:r>
      <m:oMath>
        <m:r>
          <m:rPr/>
          <w:rPr>
            <w:rFonts w:hint="default" w:ascii="Cambria Math"/>
          </w:rPr>
          <m:t>→</m:t>
        </m:r>
      </m:oMath>
      <w:r>
        <w:t xml:space="preserve"> 实验数据 </w:t>
      </w:r>
      <m:oMath>
        <m:r>
          <m:rPr/>
          <w:rPr>
            <w:rFonts w:hint="default" w:ascii="Cambria Math"/>
          </w:rPr>
          <m:t>→</m:t>
        </m:r>
      </m:oMath>
      <w:r>
        <w:t xml:space="preserve"> 未来展望）。</w:t>
      </w:r>
    </w:p>
    <w:p w14:paraId="617C9D1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4846D6C">
      <w:pPr>
        <w:pStyle w:val="3"/>
      </w:pPr>
      <w:r>
        <w:t>4. 严谨性控制与工程防御机制（防幻觉/防挂卡）</w:t>
      </w:r>
    </w:p>
    <w:p w14:paraId="731D3EE1">
      <w:pPr>
        <w:pStyle w:val="4"/>
      </w:pPr>
      <w:r>
        <w:t>4.1 双向证据链溯源机制（Dual-Check RAG）</w:t>
      </w:r>
    </w:p>
    <w:p w14:paraId="33E783C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0ECF4FD">
      <w:pPr>
        <w:numPr>
          <w:ilvl w:val="0"/>
          <w:numId w:val="26"/>
        </w:numPr>
        <w:spacing w:before="0" w:after="0"/>
      </w:pPr>
      <w:r>
        <w:rPr>
          <w:b/>
        </w:rPr>
        <w:t>正向检索</w:t>
      </w:r>
      <w:r>
        <w:t xml:space="preserve">： 用户提问 </w:t>
      </w:r>
      <m:oMath>
        <m:r>
          <m:rPr/>
          <w:rPr>
            <w:rFonts w:hint="default" w:ascii="Cambria Math"/>
          </w:rPr>
          <m:t>→</m:t>
        </m:r>
      </m:oMath>
      <w:r>
        <w:t xml:space="preserve"> 向量库检索相关文本与图表 </w:t>
      </w:r>
      <m:oMath>
        <m:r>
          <m:rPr/>
          <w:rPr>
            <w:rFonts w:hint="default" w:ascii="Cambria Math"/>
          </w:rPr>
          <m:t>→</m:t>
        </m:r>
      </m:oMath>
      <w:r>
        <w:t xml:space="preserve"> 提交给问答Agent。</w:t>
      </w:r>
    </w:p>
    <w:p w14:paraId="1832493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6CE8E15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4A662EE">
      <w:pPr>
        <w:numPr>
          <w:ilvl w:val="0"/>
          <w:numId w:val="27"/>
        </w:numPr>
        <w:spacing w:before="0" w:after="0"/>
      </w:pPr>
      <w:r>
        <w:rPr>
          <w:b/>
        </w:rPr>
        <w:t>反向校验</w:t>
      </w:r>
      <w:r>
        <w:t>： 问答Agent在草拟出答案后，必须将答案中的核心论点（数据、结论）重新送回原文中进行精确字符或语义匹配。</w:t>
      </w:r>
    </w:p>
    <w:p w14:paraId="715627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28B163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D5CAEF6">
      <w:pPr>
        <w:numPr>
          <w:ilvl w:val="0"/>
          <w:numId w:val="28"/>
        </w:numPr>
        <w:spacing w:before="0" w:after="0"/>
      </w:pPr>
      <w:r>
        <w:rPr>
          <w:b/>
        </w:rPr>
        <w:t>熔断机制</w:t>
      </w:r>
      <w:r>
        <w:t>： 如果发现某一段结论在原文中找不到任何“显式支撑”，系统必须剔除该段答案，并在最终输出中提示：“基于论文原文，未找到关于该细节的直接描述”。</w:t>
      </w:r>
    </w:p>
    <w:p w14:paraId="3962DA89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C9AE70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3944EF41">
      <w:pPr>
        <w:numPr>
          <w:ilvl w:val="0"/>
          <w:numId w:val="29"/>
        </w:numPr>
        <w:spacing w:before="0"/>
      </w:pPr>
      <w:r>
        <w:rPr>
          <w:b/>
        </w:rPr>
        <w:t>回复格式规范化</w:t>
      </w:r>
      <w:r>
        <w:t>： 统一采用 【结论 + 证据链（Citing）】 的格式输出，示例如下：</w:t>
      </w:r>
    </w:p>
    <w:p w14:paraId="3268FD42">
      <w:r>
        <w:t>Agent回复： 该模型的准确率比前代提升了 3.5%。</w:t>
      </w:r>
    </w:p>
    <w:p w14:paraId="022753D0">
      <w:r>
        <w:t>[证据链]：</w:t>
      </w:r>
    </w:p>
    <w:p w14:paraId="58611915">
      <w:pPr>
        <w:numPr>
          <w:ilvl w:val="1"/>
          <w:numId w:val="29"/>
        </w:numPr>
        <w:spacing w:before="0" w:after="0"/>
      </w:pPr>
      <w:r>
        <w:t>文字支撑：见论文第5页，第4章第2段：“...our proposed method outperforms the baseline by 3.5%...”</w:t>
      </w:r>
    </w:p>
    <w:p w14:paraId="7A84E12B">
      <w:pPr>
        <w:numPr>
          <w:ilvl w:val="1"/>
          <w:numId w:val="29"/>
        </w:numPr>
        <w:spacing w:before="0" w:after="0"/>
      </w:pPr>
      <w:r>
        <w:t>图表支撑：见论文第6页 Figure 4 柱状图第三列数据。</w:t>
      </w:r>
    </w:p>
    <w:p w14:paraId="4ECC7A5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1BAB2AF8">
      <w:r>
        <w:t>Agent回复： 该模型的准确率比前代提升了 3.5%。</w:t>
      </w:r>
    </w:p>
    <w:p w14:paraId="2B8D5A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147DEBDC">
      <w:r>
        <w:t>[证据链]：</w:t>
      </w:r>
    </w:p>
    <w:p w14:paraId="2F1E2BA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0" w:after="0" w:afterAutospacing="1" w:line="12" w:lineRule="atLeast"/>
        <w:ind w:left="2882" w:hanging="360"/>
        <w:rPr>
          <w:rFonts w:hint="default" w:ascii="sans-serif" w:hAnsi="sans-serif" w:eastAsia="sans-serif" w:cs="sans-serif"/>
        </w:rPr>
      </w:pPr>
    </w:p>
    <w:p w14:paraId="60C1020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4326" w:right="1440" w:hanging="360"/>
        <w:rPr>
          <w:rFonts w:hint="default" w:ascii="sans-serif" w:hAnsi="sans-serif" w:eastAsia="sans-serif" w:cs="sans-serif"/>
        </w:rPr>
      </w:pPr>
    </w:p>
    <w:p w14:paraId="74F04417">
      <w:pPr>
        <w:numPr>
          <w:ilvl w:val="0"/>
          <w:numId w:val="31"/>
        </w:numPr>
        <w:spacing w:before="0" w:after="0"/>
      </w:pPr>
      <w:r>
        <w:t>文字支撑：见论文第5页，第4章第2段：“...our proposed method outperforms the baseline by 3.5%...”</w:t>
      </w:r>
    </w:p>
    <w:p w14:paraId="0EC402F2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4326" w:right="1440" w:hanging="360"/>
        <w:rPr>
          <w:rFonts w:hint="default" w:ascii="sans-serif" w:hAnsi="sans-serif" w:eastAsia="sans-serif" w:cs="sans-serif"/>
        </w:rPr>
      </w:pPr>
    </w:p>
    <w:p w14:paraId="160B577A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4326" w:right="1440" w:hanging="360"/>
        <w:rPr>
          <w:rFonts w:hint="default" w:ascii="sans-serif" w:hAnsi="sans-serif" w:eastAsia="sans-serif" w:cs="sans-serif"/>
        </w:rPr>
      </w:pPr>
    </w:p>
    <w:p w14:paraId="10069C70">
      <w:pPr>
        <w:numPr>
          <w:ilvl w:val="0"/>
          <w:numId w:val="32"/>
        </w:numPr>
        <w:spacing w:before="0" w:after="0"/>
      </w:pPr>
      <w:r>
        <w:t>图表支撑：见论文第6页 Figure 4 柱状图第三列数据。</w:t>
      </w:r>
    </w:p>
    <w:p w14:paraId="00C75826">
      <w:pPr>
        <w:keepNext w:val="0"/>
        <w:keepLines w:val="0"/>
        <w:widowControl/>
        <w:numPr>
          <w:ilvl w:val="1"/>
          <w:numId w:val="30"/>
        </w:numPr>
        <w:suppressLineNumbers w:val="0"/>
        <w:tabs>
          <w:tab w:val="left" w:pos="1440"/>
        </w:tabs>
        <w:spacing w:before="0" w:beforeAutospacing="0" w:after="0" w:afterAutospacing="1" w:line="12" w:lineRule="atLeast"/>
        <w:ind w:left="4326" w:right="1440" w:hanging="360"/>
        <w:rPr>
          <w:rFonts w:hint="default" w:ascii="sans-serif" w:hAnsi="sans-serif" w:eastAsia="sans-serif" w:cs="sans-serif"/>
        </w:rPr>
      </w:pPr>
    </w:p>
    <w:p w14:paraId="0F8E275F">
      <w:pPr>
        <w:pStyle w:val="4"/>
      </w:pPr>
      <w:r>
        <w:t>4.2 异常边界与安全性防御</w:t>
      </w:r>
    </w:p>
    <w:p w14:paraId="3DD4523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26A60B2">
      <w:pPr>
        <w:numPr>
          <w:ilvl w:val="0"/>
          <w:numId w:val="34"/>
        </w:numPr>
        <w:spacing w:before="0" w:after="0"/>
      </w:pPr>
      <w:r>
        <w:rPr>
          <w:b/>
        </w:rPr>
        <w:t>【防扫描件坑】双层PDF自动降级</w:t>
      </w:r>
      <w:r>
        <w:t>： 系统检测到PDF底层文字无法复制时，必须自动启动高精度OCR引擎（如PaddleOCR）进行二次解析，并强制打上“扫描件，置信度略有下降”的标签。</w:t>
      </w:r>
    </w:p>
    <w:p w14:paraId="0410A79E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4461BF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2520E1F2">
      <w:pPr>
        <w:numPr>
          <w:ilvl w:val="0"/>
          <w:numId w:val="35"/>
        </w:numPr>
        <w:spacing w:before="0" w:after="0"/>
      </w:pPr>
      <w:r>
        <w:rPr>
          <w:b/>
        </w:rPr>
        <w:t>【防超长论文坑】极端长文内存熔断</w:t>
      </w:r>
      <w:r>
        <w:t>： 超过30页的学位论文或综述，系统需在上传时提示用户选择“快速抽样模式（仅解析目录+摘要+结论）”或“深度全量模式”，防止Token爆表。</w:t>
      </w:r>
    </w:p>
    <w:p w14:paraId="126C53AD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F8C8BAC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10E882AD">
      <w:pPr>
        <w:numPr>
          <w:ilvl w:val="0"/>
          <w:numId w:val="36"/>
        </w:numPr>
        <w:spacing w:before="0" w:after="0"/>
      </w:pPr>
      <w:r>
        <w:rPr>
          <w:b/>
        </w:rPr>
        <w:t>【防恶意注入】Prompt注入防御</w:t>
      </w:r>
      <w:r>
        <w:t>： 系统的严谨性校验Agent在读取PDF切片数据时，必须将原文数据作为 User Base Data 传入，与系统的 System Prompt（控制指令）进行严格的权限隔离，免疫PDF文本中暗藏的恶意劫持指令。</w:t>
      </w:r>
    </w:p>
    <w:p w14:paraId="39C63CC4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48578D7">
      <w:pPr>
        <w:pStyle w:val="3"/>
      </w:pPr>
      <w:r>
        <w:t>5. 非功能性需求与性能指标</w:t>
      </w:r>
    </w:p>
    <w:p w14:paraId="78FEFBE0">
      <w:pPr>
        <w:pStyle w:val="4"/>
      </w:pPr>
      <w:r>
        <w:t>5.1 准确率与置信度</w:t>
      </w:r>
    </w:p>
    <w:p w14:paraId="43F11457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F120220">
      <w:pPr>
        <w:numPr>
          <w:ilvl w:val="0"/>
          <w:numId w:val="38"/>
        </w:numPr>
        <w:spacing w:before="0" w:after="0"/>
      </w:pPr>
      <w:r>
        <w:rPr>
          <w:b/>
        </w:rPr>
        <w:t>真实性率（Factuality Rate）</w:t>
      </w:r>
      <w:r>
        <w:t>： 在严谨问答模式下，由于幻觉产生的错误率必须小于 1%（允许由于原文未提及而拒绝回答）。</w:t>
      </w:r>
    </w:p>
    <w:p w14:paraId="0E69D8E3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51116B6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B7E0B5B">
      <w:pPr>
        <w:numPr>
          <w:ilvl w:val="0"/>
          <w:numId w:val="39"/>
        </w:numPr>
        <w:spacing w:before="0" w:after="0"/>
      </w:pPr>
      <w:r>
        <w:rPr>
          <w:b/>
        </w:rPr>
        <w:t>图表解析完整度</w:t>
      </w:r>
      <w:r>
        <w:t>： 论文中的插图、表格漏检率小于 3%，图注与正文引用绑定正确率大于 95%。</w:t>
      </w:r>
    </w:p>
    <w:p w14:paraId="2F83198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0EE7AB0">
      <w:pPr>
        <w:pStyle w:val="4"/>
      </w:pPr>
      <w:r>
        <w:t>5.2 响应时效（Latency）</w:t>
      </w:r>
    </w:p>
    <w:p w14:paraId="314A35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EAB872F">
      <w:pPr>
        <w:numPr>
          <w:ilvl w:val="0"/>
          <w:numId w:val="41"/>
        </w:numPr>
        <w:spacing w:before="0" w:after="0"/>
      </w:pPr>
      <w:r>
        <w:rPr>
          <w:b/>
        </w:rPr>
        <w:t>冷启动解析时效</w:t>
      </w:r>
      <w:r>
        <w:t>： 一篇15页的含图表标准论文，多Agent协同处理、完成多模态对齐并建库的总时间应在 60秒 以内。</w:t>
      </w:r>
    </w:p>
    <w:p w14:paraId="56291367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6C2B6E5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4D036DF1">
      <w:pPr>
        <w:numPr>
          <w:ilvl w:val="0"/>
          <w:numId w:val="42"/>
        </w:numPr>
        <w:spacing w:before="0" w:after="0"/>
      </w:pPr>
      <w:r>
        <w:rPr>
          <w:b/>
        </w:rPr>
        <w:t>问答交互时效</w:t>
      </w:r>
      <w:r>
        <w:t>： 单次问答交互的检索与校验延迟在 3秒 以内，并支持流式（Streaming）文本输出。</w:t>
      </w:r>
    </w:p>
    <w:p w14:paraId="2FD43DF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77E0E61F">
      <w:pPr>
        <w:pStyle w:val="4"/>
      </w:pPr>
      <w:r>
        <w:t>5.3 安全与隐私约束</w:t>
      </w:r>
    </w:p>
    <w:p w14:paraId="4C3046BC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0C59890A">
      <w:r>
        <w:t>由于上传的论文可能涉及未发表的科研成果或商业机密，系统必须支持全本地化私有部署（包括向量数据库、多模态解析模型及大语言模型内核），严禁将用户上传的数据流向公网进行二次训练。</w:t>
      </w:r>
    </w:p>
    <w:p w14:paraId="6D1DF744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0" w:after="0" w:afterAutospacing="1" w:line="12" w:lineRule="atLeast"/>
        <w:ind w:left="1440" w:hanging="360"/>
        <w:rPr>
          <w:rFonts w:hint="default" w:ascii="sans-serif" w:hAnsi="sans-serif" w:eastAsia="sans-serif" w:cs="sans-serif"/>
        </w:rPr>
      </w:pPr>
    </w:p>
    <w:p w14:paraId="37650E1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1B759A"/>
    <w:multiLevelType w:val="singleLevel"/>
    <w:tmpl w:val="831B759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881CF1C2"/>
    <w:multiLevelType w:val="singleLevel"/>
    <w:tmpl w:val="881CF1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8976DAC2"/>
    <w:multiLevelType w:val="multilevel"/>
    <w:tmpl w:val="8976DA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B285AD0"/>
    <w:multiLevelType w:val="singleLevel"/>
    <w:tmpl w:val="8B285AD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8D843B98"/>
    <w:multiLevelType w:val="multilevel"/>
    <w:tmpl w:val="8D843B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91DB6E0A"/>
    <w:multiLevelType w:val="singleLevel"/>
    <w:tmpl w:val="91DB6E0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98C91DD3"/>
    <w:multiLevelType w:val="singleLevel"/>
    <w:tmpl w:val="98C91DD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A3F81609"/>
    <w:multiLevelType w:val="singleLevel"/>
    <w:tmpl w:val="A3F8160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A417A34D"/>
    <w:multiLevelType w:val="singleLevel"/>
    <w:tmpl w:val="A417A34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9">
    <w:nsid w:val="A48EF3AA"/>
    <w:multiLevelType w:val="multilevel"/>
    <w:tmpl w:val="A48EF3A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0">
    <w:nsid w:val="B8CAAC50"/>
    <w:multiLevelType w:val="singleLevel"/>
    <w:tmpl w:val="B8CAAC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1">
    <w:nsid w:val="C7490A03"/>
    <w:multiLevelType w:val="multilevel"/>
    <w:tmpl w:val="C7490A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CA5F7163"/>
    <w:multiLevelType w:val="singleLevel"/>
    <w:tmpl w:val="CA5F716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3">
    <w:nsid w:val="CD9972DE"/>
    <w:multiLevelType w:val="singleLevel"/>
    <w:tmpl w:val="CD9972D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4">
    <w:nsid w:val="D6262CB4"/>
    <w:multiLevelType w:val="singleLevel"/>
    <w:tmpl w:val="D6262CB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5">
    <w:nsid w:val="D78A8A15"/>
    <w:multiLevelType w:val="singleLevel"/>
    <w:tmpl w:val="D78A8A1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6">
    <w:nsid w:val="DE1A9B6D"/>
    <w:multiLevelType w:val="singleLevel"/>
    <w:tmpl w:val="DE1A9B6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7">
    <w:nsid w:val="E644C78F"/>
    <w:multiLevelType w:val="singleLevel"/>
    <w:tmpl w:val="E644C78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8">
    <w:nsid w:val="EECFBD5F"/>
    <w:multiLevelType w:val="multilevel"/>
    <w:tmpl w:val="EECFBD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F46CA0B5"/>
    <w:multiLevelType w:val="singleLevel"/>
    <w:tmpl w:val="F46CA0B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0">
    <w:nsid w:val="F972FB50"/>
    <w:multiLevelType w:val="singleLevel"/>
    <w:tmpl w:val="F972FB5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1">
    <w:nsid w:val="FC3F4FDD"/>
    <w:multiLevelType w:val="singleLevel"/>
    <w:tmpl w:val="FC3F4FD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2">
    <w:nsid w:val="FC457C0E"/>
    <w:multiLevelType w:val="singleLevel"/>
    <w:tmpl w:val="FC457C0E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3">
    <w:nsid w:val="0644D923"/>
    <w:multiLevelType w:val="singleLevel"/>
    <w:tmpl w:val="0644D92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4">
    <w:nsid w:val="104602B9"/>
    <w:multiLevelType w:val="singleLevel"/>
    <w:tmpl w:val="104602B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5">
    <w:nsid w:val="121D261A"/>
    <w:multiLevelType w:val="multilevel"/>
    <w:tmpl w:val="121D2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20BF15B6"/>
    <w:multiLevelType w:val="singleLevel"/>
    <w:tmpl w:val="20BF15B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7">
    <w:nsid w:val="231BEC73"/>
    <w:multiLevelType w:val="singleLevel"/>
    <w:tmpl w:val="231BEC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8">
    <w:nsid w:val="2447660B"/>
    <w:multiLevelType w:val="singleLevel"/>
    <w:tmpl w:val="2447660B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29">
    <w:nsid w:val="2628DC1E"/>
    <w:multiLevelType w:val="multilevel"/>
    <w:tmpl w:val="2628DC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2D7E657B"/>
    <w:multiLevelType w:val="multilevel"/>
    <w:tmpl w:val="2D7E65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2F35EB2B"/>
    <w:multiLevelType w:val="singleLevel"/>
    <w:tmpl w:val="2F35EB2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2">
    <w:nsid w:val="33805688"/>
    <w:multiLevelType w:val="singleLevel"/>
    <w:tmpl w:val="3380568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3">
    <w:nsid w:val="3E7CD921"/>
    <w:multiLevelType w:val="singleLevel"/>
    <w:tmpl w:val="3E7CD92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4">
    <w:nsid w:val="3EDA23D4"/>
    <w:multiLevelType w:val="singleLevel"/>
    <w:tmpl w:val="3EDA23D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5">
    <w:nsid w:val="4A6270B5"/>
    <w:multiLevelType w:val="multilevel"/>
    <w:tmpl w:val="4A6270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4C20733F"/>
    <w:multiLevelType w:val="multilevel"/>
    <w:tmpl w:val="4C2073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501C9DC2"/>
    <w:multiLevelType w:val="multilevel"/>
    <w:tmpl w:val="501C9DC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38">
    <w:nsid w:val="50276080"/>
    <w:multiLevelType w:val="singleLevel"/>
    <w:tmpl w:val="5027608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9">
    <w:nsid w:val="591519CD"/>
    <w:multiLevelType w:val="singleLevel"/>
    <w:tmpl w:val="591519C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0">
    <w:nsid w:val="6E6A7028"/>
    <w:multiLevelType w:val="singleLevel"/>
    <w:tmpl w:val="6E6A702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1">
    <w:nsid w:val="73B82FAC"/>
    <w:multiLevelType w:val="singleLevel"/>
    <w:tmpl w:val="73B82F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26"/>
  </w:num>
  <w:num w:numId="2">
    <w:abstractNumId w:val="28"/>
  </w:num>
  <w:num w:numId="3">
    <w:abstractNumId w:val="6"/>
  </w:num>
  <w:num w:numId="4">
    <w:abstractNumId w:val="24"/>
  </w:num>
  <w:num w:numId="5">
    <w:abstractNumId w:val="20"/>
  </w:num>
  <w:num w:numId="6">
    <w:abstractNumId w:val="9"/>
  </w:num>
  <w:num w:numId="7">
    <w:abstractNumId w:val="10"/>
  </w:num>
  <w:num w:numId="8">
    <w:abstractNumId w:val="34"/>
  </w:num>
  <w:num w:numId="9">
    <w:abstractNumId w:val="38"/>
  </w:num>
  <w:num w:numId="10">
    <w:abstractNumId w:val="30"/>
  </w:num>
  <w:num w:numId="11">
    <w:abstractNumId w:val="3"/>
  </w:num>
  <w:num w:numId="12">
    <w:abstractNumId w:val="16"/>
  </w:num>
  <w:num w:numId="13">
    <w:abstractNumId w:val="21"/>
  </w:num>
  <w:num w:numId="14">
    <w:abstractNumId w:val="5"/>
  </w:num>
  <w:num w:numId="15">
    <w:abstractNumId w:val="22"/>
  </w:num>
  <w:num w:numId="16">
    <w:abstractNumId w:val="25"/>
  </w:num>
  <w:num w:numId="17">
    <w:abstractNumId w:val="0"/>
  </w:num>
  <w:num w:numId="18">
    <w:abstractNumId w:val="17"/>
  </w:num>
  <w:num w:numId="19">
    <w:abstractNumId w:val="2"/>
  </w:num>
  <w:num w:numId="20">
    <w:abstractNumId w:val="41"/>
  </w:num>
  <w:num w:numId="21">
    <w:abstractNumId w:val="13"/>
  </w:num>
  <w:num w:numId="22">
    <w:abstractNumId w:val="18"/>
  </w:num>
  <w:num w:numId="23">
    <w:abstractNumId w:val="31"/>
  </w:num>
  <w:num w:numId="24">
    <w:abstractNumId w:val="39"/>
  </w:num>
  <w:num w:numId="25">
    <w:abstractNumId w:val="4"/>
  </w:num>
  <w:num w:numId="26">
    <w:abstractNumId w:val="40"/>
  </w:num>
  <w:num w:numId="27">
    <w:abstractNumId w:val="8"/>
  </w:num>
  <w:num w:numId="28">
    <w:abstractNumId w:val="19"/>
  </w:num>
  <w:num w:numId="29">
    <w:abstractNumId w:val="37"/>
  </w:num>
  <w:num w:numId="3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7"/>
  </w:num>
  <w:num w:numId="32">
    <w:abstractNumId w:val="14"/>
  </w:num>
  <w:num w:numId="33">
    <w:abstractNumId w:val="35"/>
  </w:num>
  <w:num w:numId="34">
    <w:abstractNumId w:val="32"/>
  </w:num>
  <w:num w:numId="35">
    <w:abstractNumId w:val="15"/>
  </w:num>
  <w:num w:numId="36">
    <w:abstractNumId w:val="1"/>
  </w:num>
  <w:num w:numId="37">
    <w:abstractNumId w:val="29"/>
  </w:num>
  <w:num w:numId="38">
    <w:abstractNumId w:val="12"/>
  </w:num>
  <w:num w:numId="39">
    <w:abstractNumId w:val="33"/>
  </w:num>
  <w:num w:numId="40">
    <w:abstractNumId w:val="11"/>
  </w:num>
  <w:num w:numId="41">
    <w:abstractNumId w:val="23"/>
  </w:num>
  <w:num w:numId="42">
    <w:abstractNumId w:val="27"/>
  </w:num>
  <w:num w:numId="43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A57433"/>
    <w:rsid w:val="6FA5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2026-05-27T13:51:00Z</dcterms:created>
  <dc:creator>小王子</dc:creator>
  <cp:lastModifiedBy>小王子</cp:lastModifiedBy>
  <dcterms:modified xsi:type="dcterms:W3CDTF">2026-05-27T14:03:23Z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586039AE43F14EE1B785026221DFB42D_11</vt:lpwstr>
  </property>
  <property fmtid="{D5CDD505-2E9C-101B-9397-08002B2CF9AE}" pid="4" name="KSOTemplateDocerSaveRecord">
    <vt:lpwstr>eyJoZGlkIjoiYzQ4ZGFhYzNlYzQ4NTkzNDRmZDI4OTQ5MzMxYWNkMTQiLCJ1c2VySWQiOiIxMzUxMDU3OTI1In0=</vt:lpwstr>
  </property>
</Properties>
</file>