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30AB3A">
      <w:pPr>
        <w:widowControl/>
        <w:spacing w:before="0" w:after="240" w:lineRule="exact" w:line="520"/>
        <w:ind w:firstLine="0"/>
        <w:jc w:val="center"/>
        <w:rPr>
          <w:color w:val="000000" w:themeColor="text1"/>
          <w:sz w:val="30"/>
          <w:szCs w:val="30"/>
          <w14:textFill>
            <w14:solidFill>
              <w14:schemeClr w14:val="tx1"/>
            </w14:solidFill>
          </w14:textFill>
        </w:rPr>
      </w:pPr>
      <w:r>
        <w:rPr>
          <w:rFonts w:ascii="Times New Roman" w:hAnsi="Times New Roman" w:eastAsia="黑体" w:cs="Times New Roman"/>
          <w:b/>
          <w:i w:val="0"/>
          <w:color w:val="000000" w:themeColor="text1"/>
          <w:sz w:val="36"/>
          <w:szCs w:val="30"/>
          <w14:textFill>
            <w14:solidFill>
              <w14:schemeClr w14:val="tx1"/>
            </w14:solidFill>
          </w14:textFill>
        </w:rPr>
        <w:t>车载平衡滚球运动控制系统（H题）</w:t>
      </w:r>
    </w:p>
    <w:p>
      <w:pPr>
        <w:widowControl/>
        <w:spacing w:before="80" w:after="240"/>
        <w:ind w:firstLine="0"/>
        <w:jc w:val="center"/>
      </w:pPr>
      <w:r>
        <w:rPr>
          <w:rFonts w:ascii="Times New Roman" w:hAnsi="Times New Roman" w:cs="Times New Roman" w:eastAsia="黑体"/>
          <w:b/>
          <w:sz w:val="30"/>
        </w:rPr>
        <w:t>设计报告摘要</w:t>
      </w:r>
    </w:p>
    <w:p w14:paraId="37C1BFD6">
      <w:pPr>
        <w:widowControl/>
        <w:spacing w:before="0" w:after="0" w:line="440" w:lineRule="exact"/>
        <w:ind w:firstLine="482"/>
        <w:jc w:val="both"/>
        <w:rPr>
          <w:rFonts w:ascii="黑体" w:hAnsi="黑体" w:eastAsia="黑体"/>
          <w:b/>
          <w:i w:val="0"/>
          <w:color w:val="000000" w:themeColor="text1"/>
          <w:sz w:val="22"/>
          <w14:textFill>
            <w14:solidFill>
              <w14:schemeClr w14:val="tx1"/>
            </w14:solidFill>
          </w14:textFill>
        </w:rPr>
      </w:pPr>
      <w:r>
        <w:rPr>
          <w:rFonts w:ascii="Times New Roman" w:hAnsi="Times New Roman" w:cs="Times New Roman" w:eastAsia="宋体"/>
          <w:b w:val="0"/>
          <w:sz w:val="24"/>
        </w:rPr>
        <w:t>本系统面向车载平衡滚球运动控制任务，以MSPM0G3507为主控，采用六路红外传感器完成黑线循迹，K230实时测量钢球位置与速度，MS42步进电机经齿轮齿条机构调节摆杆倾角。针对小车起步和制动时惯性力引起的钢球偏移，设计位置P—速度PI串级控制：位置外环把位置误差转换为受限目标球速，速度内环输出摆杆倾角；底盘采用梯形速度规划限制加减速度，并将规划加速度作为前馈量叠加到倾角指令。梯形规划降低扰动幅值，前馈提前抵消惯性作用，串级闭环消除模型误差和剩余偏差，从而兼顾静态定点与行驶中任意位置保持。测试表明，系统能完成循迹停车、±5 cm定点及行驶保持任务。</w:t>
      </w:r>
    </w:p>
    <w:p w14:paraId="4F587E2B">
      <w:pPr>
        <w:keepNext w:val="0"/>
        <w:keepLines w:val="0"/>
        <w:widowControl/>
        <w:suppressLineNumbers w:val="0"/>
        <w:spacing w:lineRule="exact" w:line="440" w:before="0" w:after="0"/>
        <w:ind w:firstLine="0"/>
        <w:jc w:val="both"/>
        <w:rPr>
          <w:color w:val="000000" w:themeColor="text1"/>
          <w14:textFill>
            <w14:solidFill>
              <w14:schemeClr w14:val="tx1"/>
            </w14:solidFill>
          </w14:textFill>
        </w:rPr>
      </w:pPr>
      <w:r>
        <w:rPr>
          <w:rFonts w:ascii="Times New Roman" w:hAnsi="Times New Roman" w:eastAsia="宋体" w:cs="Times New Roman"/>
          <w:b w:val="0"/>
          <w:sz w:val="24"/>
        </w:rPr>
        <w:t>关键词：循迹小车；滚球平衡；串级PID；加速度前馈；梯形速度规划；K230视觉</w:t>
      </w:r>
    </w:p>
    <w:p>
      <w:pPr>
        <w:widowControl/>
        <w:ind w:firstLine="0"/>
      </w:pPr>
      <w:r>
        <w:br w:type="page"/>
      </w:r>
    </w:p>
    <w:p w14:paraId="258A3C7D">
      <w:pPr>
        <w:pStyle w:val="3"/>
        <w:keepNext/>
        <w:widowControl/>
        <w:spacing w:before="100" w:after="20" w:lineRule="exact" w:line="440"/>
        <w:ind w:firstLine="0"/>
        <w:jc w:val="left"/>
        <w:rPr>
          <w:color w:val="000000" w:themeColor="text1"/>
          <w14:textFill>
            <w14:solidFill>
              <w14:schemeClr w14:val="tx1"/>
            </w14:solidFill>
          </w14:textFill>
        </w:rPr>
      </w:pPr>
      <w:r>
        <w:t>一、引言</w:t>
      </w:r>
    </w:p>
    <w:p w14:paraId="3F09F259">
      <w:pPr>
        <w:widowControl/>
        <w:spacing w:before="0" w:after="0" w:line="440" w:lineRule="exact"/>
        <w:ind w:firstLine="482"/>
        <w:jc w:val="both"/>
        <w:rPr>
          <w:color w:val="000000" w:themeColor="text1"/>
          <w14:textFill>
            <w14:solidFill>
              <w14:schemeClr w14:val="tx1"/>
            </w14:solidFill>
          </w14:textFill>
        </w:rPr>
      </w:pPr>
      <w:r>
        <w:rPr>
          <w:rFonts w:ascii="Times New Roman" w:hAnsi="Times New Roman" w:eastAsia="宋体" w:cs="Times New Roman"/>
          <w:b w:val="0"/>
          <w:i w:val="0"/>
          <w:color w:val="000000" w:themeColor="text1"/>
          <w:sz w:val="24"/>
          <w14:textFill>
            <w14:solidFill>
              <w14:schemeClr w14:val="tx1"/>
            </w14:solidFill>
          </w14:textFill>
        </w:rPr>
        <w:t>题目要求设计制作一辆车载平衡滚球运动控制系统。小车沿黑色环形线路顺时针行驶，车体上安装带凹槽的摆杆、摆杆角度控制机构和钢球。系统必须完成图传监测、按键启动、计时显示、循迹一圈停车、静止状态下的±5cm 定点运动，以及小车行驶过程中钢球在中心点或任意指定位置附近保持，要求滚球位置误差绝对值不超过1cm。</w:t>
      </w:r>
    </w:p>
    <w:p w14:paraId="7B4DDC19">
      <w:pPr>
        <w:widowControl/>
        <w:spacing w:before="0" w:after="0" w:line="440" w:lineRule="exact"/>
        <w:ind w:firstLine="482"/>
        <w:jc w:val="both"/>
        <w:rPr>
          <w:color w:val="000000" w:themeColor="text1"/>
          <w14:textFill>
            <w14:solidFill>
              <w14:schemeClr w14:val="tx1"/>
            </w14:solidFill>
          </w14:textFill>
        </w:rPr>
      </w:pPr>
      <w:r>
        <w:rPr>
          <w:rFonts w:ascii="Times New Roman" w:hAnsi="Times New Roman" w:eastAsia="宋体" w:cs="Times New Roman"/>
          <w:b w:val="0"/>
          <w:sz w:val="24"/>
        </w:rPr>
        <w:t>本设计采用模块化方案。底盘控制器读取六路红外传感器的巡线偏差，经循迹差速与双轮速度闭环驱动小车；K230通过固定在摆杆上方的摄像头输出钢球位置和速度，主控采用位置P—速度PI串级控制计算摆杆倾角，再由MS42步进电机和齿轮齿条机构执行。为解决静止调好的控制器在小车起步、匀速和制动阶段表现不一致的问题，底盘速度指令不直接阶跃，而是经过梯形加减速规划；规划器同步输出可预知的车体加速度，作为前馈量送入滚球倾角指令。OLED显示运行时间和状态，蜂鸣器用于启动、到点和故障提示。</w:t>
      </w:r>
    </w:p>
    <w:p>
      <w:pPr>
        <w:pStyle w:val="3"/>
        <w:widowControl/>
      </w:pPr>
      <w:r>
        <w:t>二、总体方案设计与方案论证</w:t>
      </w:r>
    </w:p>
    <w:p w14:paraId="540D7141">
      <w:pPr>
        <w:pStyle w:val="4"/>
        <w:keepNext/>
        <w:widowControl/>
        <w:spacing w:before="100" w:after="20" w:line="440" w:lineRule="exact"/>
        <w:ind w:firstLine="0"/>
        <w:jc w:val="left"/>
        <w:rPr>
          <w:color w:val="000000" w:themeColor="text1"/>
          <w14:textFill>
            <w14:solidFill>
              <w14:schemeClr w14:val="tx1"/>
            </w14:solidFill>
          </w14:textFill>
        </w:rPr>
      </w:pPr>
      <w:r>
        <w:rPr>
          <w:rFonts w:ascii="黑体" w:hAnsi="黑体" w:eastAsia="黑体"/>
          <w:b/>
          <w:i w:val="0"/>
          <w:color w:val="000000" w:themeColor="text1"/>
          <w:sz w:val="30"/>
          <w14:textFill>
            <w14:solidFill>
              <w14:schemeClr w14:val="tx1"/>
            </w14:solidFill>
          </w14:textFill>
        </w:rPr>
        <w:t>2.1 总体方案</w:t>
      </w:r>
    </w:p>
    <w:p w14:paraId="03EC8813">
      <w:pPr>
        <w:widowControl/>
        <w:spacing w:before="0" w:after="0" w:line="440" w:lineRule="exact"/>
        <w:ind w:firstLine="482"/>
        <w:jc w:val="both"/>
        <w:rPr>
          <w:color w:val="000000" w:themeColor="text1"/>
          <w14:textFill>
            <w14:solidFill>
              <w14:schemeClr w14:val="tx1"/>
            </w14:solidFill>
          </w14:textFill>
        </w:rPr>
      </w:pPr>
      <w:r>
        <w:rPr>
          <w:rFonts w:ascii="Times New Roman" w:hAnsi="Times New Roman" w:eastAsia="宋体" w:cs="Times New Roman"/>
          <w:b w:val="0"/>
          <w:sz w:val="24"/>
        </w:rPr>
        <w:t>系统由循迹小车、平衡摆杆、视觉检测、控制电路和图传记录五部分组成。小车在平面内完成路径跟踪，摆杆在车体上方提供钢球滚动通道，摆杆左端铰接，另一端由步进电机驱动的齿轮齿条机构升降。控制链分为底盘运动链与钢球平衡链：前者生成梯形速度轨迹并完成巡线和轮速闭环，后者根据K230观测执行位置—速度串级闭环；两条控制链通过“规划加速度”连接，使摆杆能在底盘加减速发生的同时进行前馈补偿，而不是等钢球产生明显位移后再纠偏。各模块接口集中在自制PCB上，便于调试、替换和封装。</w:t>
      </w:r>
    </w:p>
    <w:p w14:paraId="7B4DFE1F">
      <w:pPr>
        <w:keepNext/>
        <w:widowControl/>
        <w:spacing w:before="80" w:after="40" w:line="240" w:lineRule="auto"/>
        <w:ind w:firstLine="0"/>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029200" cy="2738120"/>
            <wp:effectExtent l="0" t="0" r="0" b="5080"/>
            <wp:docPr id="1" name="Picture 1" descr="系统总体结构框图" title="系统总体结构框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图 1 系统总体结构框图" title="图 1 系统总体结构框图"/>
                    <pic:cNvPicPr>
                      <a:picLocks noChangeAspect="1"/>
                    </pic:cNvPicPr>
                  </pic:nvPicPr>
                  <pic:blipFill>
                    <a:blip r:embed="rId7"/>
                    <a:stretch>
                      <a:fillRect/>
                    </a:stretch>
                  </pic:blipFill>
                  <pic:spPr>
                    <a:xfrm>
                      <a:off x="0" y="0"/>
                      <a:ext cx="5029200" cy="2738120"/>
                    </a:xfrm>
                    <a:prstGeom prst="rect">
                      <a:avLst/>
                    </a:prstGeom>
                  </pic:spPr>
                </pic:pic>
              </a:graphicData>
            </a:graphic>
          </wp:inline>
        </w:drawing>
      </w:r>
    </w:p>
    <w:p w14:paraId="31661A1F">
      <w:pPr>
        <w:pStyle w:val="15"/>
        <w:widowControl/>
        <w:spacing w:before="0" w:after="100" w:line="320" w:lineRule="exact"/>
        <w:ind w:firstLine="0"/>
        <w:jc w:val="center"/>
        <w:rPr>
          <w:color w:val="000000" w:themeColor="text1"/>
          <w14:textFill>
            <w14:solidFill>
              <w14:schemeClr w14:val="tx1"/>
            </w14:solidFill>
          </w14:textFill>
        </w:rPr>
      </w:pPr>
      <w:r>
        <w:t>图1  系统总体结构框图</w:t>
      </w:r>
    </w:p>
    <w:p w14:paraId="42E1D1D4">
      <w:pPr>
        <w:pStyle w:val="15"/>
        <w:keepNext/>
        <w:widowControl/>
        <w:spacing w:before="100" w:after="60" w:line="320" w:lineRule="exact"/>
        <w:ind w:firstLine="0"/>
        <w:jc w:val="center"/>
        <w:rPr>
          <w:color w:val="000000" w:themeColor="text1"/>
          <w14:textFill>
            <w14:solidFill>
              <w14:schemeClr w14:val="tx1"/>
            </w14:solidFill>
          </w14:textFill>
        </w:rPr>
      </w:pPr>
      <w:r>
        <w:t>表1  系统主要模块组成</w:t>
      </w:r>
    </w:p>
    <w:tbl>
      <w:tblPr>
        <w:tblW w:w="9071" w:type="dxa"/>
        <w:jc w:val="left"/>
        <w:tblBorders>
          <w:top w:val="single" w:color="000000" w:sz="18" w:space="0"/>
          <w:left w:val="nil" w:color="000000" w:sz="0" w:space="0"/>
          <w:bottom w:val="single" w:color="000000" w:sz="18" w:space="0"/>
          <w:right w:val="nil" w:color="000000" w:sz="0" w:space="0"/>
          <w:insideH w:val="nil" w:color="000000" w:sz="0" w:space="0"/>
          <w:insideV w:val="nil" w:color="000000" w:sz="0" w:space="0"/>
        </w:tblBorders>
        <w:tblLayout w:type="fixed"/>
        <w:tblCellMar>
          <w:top w:w="0" w:type="dxa"/>
          <w:left w:w="108" w:type="dxa"/>
          <w:bottom w:w="0" w:type="dxa"/>
          <w:right w:w="108" w:type="dxa"/>
        </w:tblCellMar>
        <w:tblInd w:type="dxa" w:w="0"/>
      </w:tblPr>
      <w:tblGrid>
        <w:gridCol w:w="1500"/>
        <w:gridCol w:w="2550"/>
        <w:gridCol w:w="5021"/>
      </w:tblGrid>
      <w:tr w14:paraId="09074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cantSplit/>
        </w:trPr>
        <w:tc>
          <w:tcPr>
            <w:tcW w:w="1500" w:type="dxa"/>
            <w:tcBorders>
              <w:top w:val="nil" w:color="000000" w:sz="0" w:space="0"/>
              <w:left w:val="nil" w:color="000000" w:sz="0" w:space="0"/>
              <w:bottom w:val="single" w:color="000000" w:sz="8" w:space="0"/>
              <w:right w:val="nil" w:color="000000" w:sz="0" w:space="0"/>
              <w:insideH w:val="nil" w:sz="0" w:space="0" w:color="000000"/>
              <w:insideV w:val="nil" w:sz="0" w:space="0" w:color="000000"/>
            </w:tcBorders>
            <w:shd w:val="clear" w:color="auto" w:fill="E8EEF4"/>
            <w:tcMar>
              <w:top w:w="100" w:type="dxa"/>
              <w:left w:w="120" w:type="dxa"/>
              <w:bottom w:w="100" w:type="dxa"/>
              <w:right w:w="120" w:type="dxa"/>
            </w:tcMar>
            <w:vAlign w:val="center"/>
          </w:tcPr>
          <w:p w14:paraId="766878EF">
            <w:pPr>
              <w:spacing w:after="0" w:line="360" w:lineRule="exact" w:before="0"/>
              <w:ind w:firstLine="0"/>
              <w:jc w:val="center"/>
              <w:rPr>
                <w:color w:val="000000" w:themeColor="text1"/>
                <w14:textFill>
                  <w14:solidFill>
                    <w14:schemeClr w14:val="tx1"/>
                  </w14:solidFill>
                </w14:textFill>
              </w:rPr>
            </w:pPr>
            <w:r>
              <w:rPr>
                <w:rFonts w:ascii="Times New Roman" w:hAnsi="Times New Roman" w:eastAsia="宋体" w:cs="Times New Roman"/>
                <w:b/>
                <w:i w:val="0"/>
                <w:color w:val="000000" w:themeColor="text1"/>
                <w:sz w:val="21"/>
                <w14:textFill>
                  <w14:solidFill>
                    <w14:schemeClr w14:val="tx1"/>
                  </w14:solidFill>
                </w14:textFill>
              </w:rPr>
              <w:t>模块</w:t>
            </w:r>
          </w:p>
        </w:tc>
        <w:tc>
          <w:tcPr>
            <w:tcW w:w="2550" w:type="dxa"/>
            <w:tcBorders>
              <w:top w:val="nil" w:color="000000" w:sz="0" w:space="0"/>
              <w:left w:val="nil" w:color="000000" w:sz="0" w:space="0"/>
              <w:bottom w:val="single" w:color="000000" w:sz="8" w:space="0"/>
              <w:right w:val="nil" w:color="000000" w:sz="0" w:space="0"/>
              <w:insideH w:val="nil" w:sz="0" w:space="0" w:color="000000"/>
              <w:insideV w:val="nil" w:sz="0" w:space="0" w:color="000000"/>
            </w:tcBorders>
            <w:shd w:val="clear" w:color="auto" w:fill="E8EEF4"/>
            <w:tcMar>
              <w:top w:w="100" w:type="dxa"/>
              <w:left w:w="120" w:type="dxa"/>
              <w:bottom w:w="100" w:type="dxa"/>
              <w:right w:w="120" w:type="dxa"/>
            </w:tcMar>
            <w:vAlign w:val="center"/>
          </w:tcPr>
          <w:p w14:paraId="64F685EE">
            <w:pPr>
              <w:spacing w:after="0" w:line="360" w:lineRule="exact" w:before="0"/>
              <w:ind w:firstLine="0"/>
              <w:jc w:val="center"/>
              <w:rPr>
                <w:color w:val="000000" w:themeColor="text1"/>
                <w14:textFill>
                  <w14:solidFill>
                    <w14:schemeClr w14:val="tx1"/>
                  </w14:solidFill>
                </w14:textFill>
              </w:rPr>
            </w:pPr>
            <w:r>
              <w:rPr>
                <w:rFonts w:ascii="Times New Roman" w:hAnsi="Times New Roman" w:eastAsia="宋体" w:cs="Times New Roman"/>
                <w:b/>
                <w:i w:val="0"/>
                <w:color w:val="000000" w:themeColor="text1"/>
                <w:sz w:val="21"/>
                <w14:textFill>
                  <w14:solidFill>
                    <w14:schemeClr w14:val="tx1"/>
                  </w14:solidFill>
                </w14:textFill>
              </w:rPr>
              <w:t>采用方案</w:t>
            </w:r>
          </w:p>
        </w:tc>
        <w:tc>
          <w:tcPr>
            <w:tcW w:w="5021" w:type="dxa"/>
            <w:tcBorders>
              <w:top w:val="nil" w:color="000000" w:sz="0" w:space="0"/>
              <w:left w:val="nil" w:color="000000" w:sz="0" w:space="0"/>
              <w:bottom w:val="single" w:color="000000" w:sz="8" w:space="0"/>
              <w:right w:val="nil" w:color="000000" w:sz="0" w:space="0"/>
              <w:insideH w:val="nil" w:sz="0" w:space="0" w:color="000000"/>
              <w:insideV w:val="nil" w:sz="0" w:space="0" w:color="000000"/>
            </w:tcBorders>
            <w:shd w:val="clear" w:color="auto" w:fill="E8EEF4"/>
            <w:tcMar>
              <w:top w:w="100" w:type="dxa"/>
              <w:left w:w="120" w:type="dxa"/>
              <w:bottom w:w="100" w:type="dxa"/>
              <w:right w:w="120" w:type="dxa"/>
            </w:tcMar>
            <w:vAlign w:val="center"/>
          </w:tcPr>
          <w:p w14:paraId="213375BF">
            <w:pPr>
              <w:spacing w:after="0" w:line="360" w:lineRule="exact" w:before="0"/>
              <w:ind w:firstLine="0"/>
              <w:jc w:val="center"/>
              <w:rPr>
                <w:color w:val="000000" w:themeColor="text1"/>
                <w14:textFill>
                  <w14:solidFill>
                    <w14:schemeClr w14:val="tx1"/>
                  </w14:solidFill>
                </w14:textFill>
              </w:rPr>
            </w:pPr>
            <w:r>
              <w:rPr>
                <w:rFonts w:ascii="Times New Roman" w:hAnsi="Times New Roman" w:eastAsia="宋体" w:cs="Times New Roman"/>
                <w:b/>
                <w:i w:val="0"/>
                <w:color w:val="000000" w:themeColor="text1"/>
                <w:sz w:val="21"/>
                <w14:textFill>
                  <w14:solidFill>
                    <w14:schemeClr w14:val="tx1"/>
                  </w14:solidFill>
                </w14:textFill>
              </w:rPr>
              <w:t>作用</w:t>
            </w:r>
          </w:p>
        </w:tc>
      </w:tr>
      <w:tr w14:paraId="2CDCBA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1500" w:type="dxa"/>
            <w:tcBorders>
              <w:top w:val="nil" w:color="000000" w:sz="0" w:space="0"/>
              <w:left w:val="nil" w:color="000000" w:sz="0" w:space="0"/>
              <w:bottom w:val="nil" w:color="000000" w:sz="0" w:space="0"/>
              <w:right w:val="nil" w:color="000000" w:sz="0" w:space="0"/>
              <w:insideH w:val="nil" w:sz="0" w:space="0" w:color="000000"/>
              <w:insideV w:val="nil" w:sz="0" w:space="0" w:color="000000"/>
            </w:tcBorders>
            <w:tcMar>
              <w:top w:w="100" w:type="dxa"/>
              <w:left w:w="120" w:type="dxa"/>
              <w:bottom w:w="100" w:type="dxa"/>
              <w:right w:w="120" w:type="dxa"/>
            </w:tcMar>
            <w:vAlign w:val="center"/>
            <w:shd w:val="clear" w:color="auto" w:fill="FFFFFF"/>
          </w:tcPr>
          <w:p w14:paraId="56174B51">
            <w:pPr>
              <w:spacing w:after="0" w:line="360" w:lineRule="exact" w:before="0"/>
              <w:ind w:firstLine="0"/>
              <w:jc w:val="center"/>
              <w:rPr>
                <w:color w:val="000000" w:themeColor="text1"/>
                <w14:textFill>
                  <w14:solidFill>
                    <w14:schemeClr w14:val="tx1"/>
                  </w14:solidFill>
                </w14:textFill>
              </w:rPr>
            </w:pPr>
            <w:r>
              <w:rPr>
                <w:rFonts w:ascii="Times New Roman" w:hAnsi="Times New Roman" w:eastAsia="宋体" w:cs="Times New Roman"/>
                <w:b w:val="0"/>
                <w:i w:val="0"/>
                <w:color w:val="000000" w:themeColor="text1"/>
                <w:sz w:val="21"/>
                <w14:textFill>
                  <w14:solidFill>
                    <w14:schemeClr w14:val="tx1"/>
                  </w14:solidFill>
                </w14:textFill>
              </w:rPr>
              <w:t>主控</w:t>
            </w:r>
          </w:p>
        </w:tc>
        <w:tc>
          <w:tcPr>
            <w:tcW w:w="2550" w:type="dxa"/>
            <w:tcBorders>
              <w:top w:val="nil" w:color="000000" w:sz="0" w:space="0"/>
              <w:left w:val="nil" w:color="000000" w:sz="0" w:space="0"/>
              <w:bottom w:val="nil" w:color="000000" w:sz="0" w:space="0"/>
              <w:right w:val="nil" w:color="000000" w:sz="0" w:space="0"/>
              <w:insideH w:val="nil" w:sz="0" w:space="0" w:color="000000"/>
              <w:insideV w:val="nil" w:sz="0" w:space="0" w:color="000000"/>
            </w:tcBorders>
            <w:tcMar>
              <w:top w:w="100" w:type="dxa"/>
              <w:left w:w="120" w:type="dxa"/>
              <w:bottom w:w="100" w:type="dxa"/>
              <w:right w:w="120" w:type="dxa"/>
            </w:tcMar>
            <w:vAlign w:val="center"/>
            <w:shd w:val="clear" w:color="auto" w:fill="FFFFFF"/>
          </w:tcPr>
          <w:p w14:paraId="7CBB7245">
            <w:pPr>
              <w:spacing w:after="0" w:line="360" w:lineRule="exact" w:before="0"/>
              <w:ind w:firstLine="0"/>
              <w:jc w:val="center"/>
              <w:rPr>
                <w:color w:val="000000" w:themeColor="text1"/>
                <w14:textFill>
                  <w14:solidFill>
                    <w14:schemeClr w14:val="tx1"/>
                  </w14:solidFill>
                </w14:textFill>
              </w:rPr>
            </w:pPr>
            <w:r>
              <w:rPr>
                <w:rFonts w:ascii="Times New Roman" w:hAnsi="Times New Roman" w:eastAsia="宋体" w:cs="Times New Roman"/>
                <w:b w:val="0"/>
                <w:i w:val="0"/>
                <w:color w:val="000000" w:themeColor="text1"/>
                <w:sz w:val="21"/>
                <w14:textFill>
                  <w14:solidFill>
                    <w14:schemeClr w14:val="tx1"/>
                  </w14:solidFill>
                </w14:textFill>
              </w:rPr>
              <w:t>MSPM0G3507开发板</w:t>
            </w:r>
          </w:p>
        </w:tc>
        <w:tc>
          <w:tcPr>
            <w:tcW w:w="5021" w:type="dxa"/>
            <w:tcBorders>
              <w:top w:val="nil" w:color="000000" w:sz="0" w:space="0"/>
              <w:left w:val="nil" w:color="000000" w:sz="0" w:space="0"/>
              <w:bottom w:val="nil" w:color="000000" w:sz="0" w:space="0"/>
              <w:right w:val="nil" w:color="000000" w:sz="0" w:space="0"/>
              <w:insideH w:val="nil" w:sz="0" w:space="0" w:color="000000"/>
              <w:insideV w:val="nil" w:sz="0" w:space="0" w:color="000000"/>
            </w:tcBorders>
            <w:tcMar>
              <w:top w:w="100" w:type="dxa"/>
              <w:left w:w="120" w:type="dxa"/>
              <w:bottom w:w="100" w:type="dxa"/>
              <w:right w:w="120" w:type="dxa"/>
            </w:tcMar>
            <w:vAlign w:val="center"/>
            <w:shd w:val="clear" w:color="auto" w:fill="FFFFFF"/>
          </w:tcPr>
          <w:p>
            <w:pPr>
              <w:spacing w:lineRule="exact" w:line="360" w:before="0" w:after="0"/>
              <w:ind w:firstLine="0"/>
              <w:jc w:val="center"/>
            </w:pPr>
            <w:r>
              <w:rPr>
                <w:rFonts w:ascii="Times New Roman" w:hAnsi="Times New Roman" w:eastAsia="宋体" w:cs="Times New Roman"/>
                <w:b w:val="0"/>
                <w:sz w:val="21"/>
              </w:rPr>
              <w:t>读取传感器，执行状态机、串级闭环与前馈控制</w:t>
            </w:r>
          </w:p>
        </w:tc>
      </w:tr>
      <w:tr w14:paraId="4D3A4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1500" w:type="dxa"/>
            <w:tcBorders>
              <w:top w:val="nil" w:color="000000" w:sz="0" w:space="0"/>
              <w:left w:val="nil" w:color="000000" w:sz="0" w:space="0"/>
              <w:bottom w:val="nil" w:color="000000" w:sz="0" w:space="0"/>
              <w:right w:val="nil" w:color="000000" w:sz="0" w:space="0"/>
              <w:insideH w:val="nil" w:sz="0" w:space="0" w:color="000000"/>
              <w:insideV w:val="nil" w:sz="0" w:space="0" w:color="000000"/>
            </w:tcBorders>
            <w:tcMar>
              <w:top w:w="100" w:type="dxa"/>
              <w:left w:w="120" w:type="dxa"/>
              <w:bottom w:w="100" w:type="dxa"/>
              <w:right w:w="120" w:type="dxa"/>
            </w:tcMar>
            <w:vAlign w:val="center"/>
            <w:shd w:val="clear" w:color="auto" w:fill="FFFFFF"/>
          </w:tcPr>
          <w:p w14:paraId="1F18E061">
            <w:pPr>
              <w:spacing w:after="0" w:line="360" w:lineRule="exact" w:before="0"/>
              <w:ind w:firstLine="0"/>
              <w:jc w:val="center"/>
              <w:rPr>
                <w:color w:val="000000" w:themeColor="text1"/>
                <w14:textFill>
                  <w14:solidFill>
                    <w14:schemeClr w14:val="tx1"/>
                  </w14:solidFill>
                </w14:textFill>
              </w:rPr>
            </w:pPr>
            <w:r>
              <w:rPr>
                <w:rFonts w:ascii="Times New Roman" w:hAnsi="Times New Roman" w:eastAsia="宋体" w:cs="Times New Roman"/>
                <w:b w:val="0"/>
                <w:i w:val="0"/>
                <w:color w:val="000000" w:themeColor="text1"/>
                <w:sz w:val="21"/>
                <w14:textFill>
                  <w14:solidFill>
                    <w14:schemeClr w14:val="tx1"/>
                  </w14:solidFill>
                </w14:textFill>
              </w:rPr>
              <w:t>视觉</w:t>
            </w:r>
          </w:p>
        </w:tc>
        <w:tc>
          <w:tcPr>
            <w:tcW w:w="2550" w:type="dxa"/>
            <w:tcBorders>
              <w:top w:val="nil" w:color="000000" w:sz="0" w:space="0"/>
              <w:left w:val="nil" w:color="000000" w:sz="0" w:space="0"/>
              <w:bottom w:val="nil" w:color="000000" w:sz="0" w:space="0"/>
              <w:right w:val="nil" w:color="000000" w:sz="0" w:space="0"/>
              <w:insideH w:val="nil" w:sz="0" w:space="0" w:color="000000"/>
              <w:insideV w:val="nil" w:sz="0" w:space="0" w:color="000000"/>
            </w:tcBorders>
            <w:tcMar>
              <w:top w:w="100" w:type="dxa"/>
              <w:left w:w="120" w:type="dxa"/>
              <w:bottom w:w="100" w:type="dxa"/>
              <w:right w:w="120" w:type="dxa"/>
            </w:tcMar>
            <w:vAlign w:val="center"/>
            <w:shd w:val="clear" w:color="auto" w:fill="FFFFFF"/>
          </w:tcPr>
          <w:p w14:paraId="61B6DFC9">
            <w:pPr>
              <w:spacing w:after="0" w:line="360" w:lineRule="exact" w:before="0"/>
              <w:ind w:firstLine="0"/>
              <w:jc w:val="center"/>
              <w:rPr>
                <w:color w:val="000000" w:themeColor="text1"/>
                <w14:textFill>
                  <w14:solidFill>
                    <w14:schemeClr w14:val="tx1"/>
                  </w14:solidFill>
                </w14:textFill>
              </w:rPr>
            </w:pPr>
            <w:r>
              <w:rPr>
                <w:rFonts w:ascii="Times New Roman" w:hAnsi="Times New Roman" w:eastAsia="宋体" w:cs="Times New Roman"/>
                <w:b w:val="0"/>
                <w:i w:val="0"/>
                <w:color w:val="000000" w:themeColor="text1"/>
                <w:sz w:val="21"/>
                <w14:textFill>
                  <w14:solidFill>
                    <w14:schemeClr w14:val="tx1"/>
                  </w14:solidFill>
                </w14:textFill>
              </w:rPr>
              <w:t>K230 + 摄像头</w:t>
            </w:r>
          </w:p>
        </w:tc>
        <w:tc>
          <w:tcPr>
            <w:tcW w:w="5021" w:type="dxa"/>
            <w:tcBorders>
              <w:top w:val="nil" w:color="000000" w:sz="0" w:space="0"/>
              <w:left w:val="nil" w:color="000000" w:sz="0" w:space="0"/>
              <w:bottom w:val="nil" w:color="000000" w:sz="0" w:space="0"/>
              <w:right w:val="nil" w:color="000000" w:sz="0" w:space="0"/>
              <w:insideH w:val="nil" w:sz="0" w:space="0" w:color="000000"/>
              <w:insideV w:val="nil" w:sz="0" w:space="0" w:color="000000"/>
            </w:tcBorders>
            <w:tcMar>
              <w:top w:w="100" w:type="dxa"/>
              <w:left w:w="120" w:type="dxa"/>
              <w:bottom w:w="100" w:type="dxa"/>
              <w:right w:w="120" w:type="dxa"/>
            </w:tcMar>
            <w:vAlign w:val="center"/>
            <w:shd w:val="clear" w:color="auto" w:fill="FFFFFF"/>
          </w:tcPr>
          <w:p>
            <w:pPr>
              <w:spacing w:lineRule="exact" w:line="360" w:before="0" w:after="0"/>
              <w:ind w:firstLine="0"/>
              <w:jc w:val="center"/>
            </w:pPr>
            <w:r>
              <w:rPr>
                <w:rFonts w:ascii="Times New Roman" w:hAnsi="Times New Roman" w:eastAsia="宋体" w:cs="Times New Roman"/>
                <w:b w:val="0"/>
                <w:sz w:val="21"/>
              </w:rPr>
              <w:t>检测钢球位置与速度并输出坐标帧</w:t>
            </w:r>
          </w:p>
        </w:tc>
      </w:tr>
      <w:tr w14:paraId="5081D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1500" w:type="dxa"/>
            <w:tcBorders>
              <w:top w:val="nil" w:color="000000" w:sz="0" w:space="0"/>
              <w:left w:val="nil" w:color="000000" w:sz="0" w:space="0"/>
              <w:bottom w:val="nil" w:color="000000" w:sz="0" w:space="0"/>
              <w:right w:val="nil" w:color="000000" w:sz="0" w:space="0"/>
              <w:insideH w:val="nil" w:sz="0" w:space="0" w:color="000000"/>
              <w:insideV w:val="nil" w:sz="0" w:space="0" w:color="000000"/>
            </w:tcBorders>
            <w:tcMar>
              <w:top w:w="100" w:type="dxa"/>
              <w:left w:w="120" w:type="dxa"/>
              <w:bottom w:w="100" w:type="dxa"/>
              <w:right w:w="120" w:type="dxa"/>
            </w:tcMar>
            <w:vAlign w:val="center"/>
            <w:shd w:val="clear" w:color="auto" w:fill="FFFFFF"/>
          </w:tcPr>
          <w:p w14:paraId="13F27457">
            <w:pPr>
              <w:spacing w:after="0" w:line="360" w:lineRule="exact" w:before="0"/>
              <w:ind w:firstLine="0"/>
              <w:jc w:val="center"/>
              <w:rPr>
                <w:color w:val="000000" w:themeColor="text1"/>
                <w14:textFill>
                  <w14:solidFill>
                    <w14:schemeClr w14:val="tx1"/>
                  </w14:solidFill>
                </w14:textFill>
              </w:rPr>
            </w:pPr>
            <w:r>
              <w:rPr>
                <w:rFonts w:ascii="Times New Roman" w:hAnsi="Times New Roman" w:eastAsia="宋体" w:cs="Times New Roman"/>
                <w:b w:val="0"/>
                <w:i w:val="0"/>
                <w:color w:val="000000" w:themeColor="text1"/>
                <w:sz w:val="21"/>
                <w14:textFill>
                  <w14:solidFill>
                    <w14:schemeClr w14:val="tx1"/>
                  </w14:solidFill>
                </w14:textFill>
              </w:rPr>
              <w:t>循迹</w:t>
            </w:r>
          </w:p>
        </w:tc>
        <w:tc>
          <w:tcPr>
            <w:tcW w:w="2550" w:type="dxa"/>
            <w:tcBorders>
              <w:top w:val="nil" w:color="000000" w:sz="0" w:space="0"/>
              <w:left w:val="nil" w:color="000000" w:sz="0" w:space="0"/>
              <w:bottom w:val="nil" w:color="000000" w:sz="0" w:space="0"/>
              <w:right w:val="nil" w:color="000000" w:sz="0" w:space="0"/>
              <w:insideH w:val="nil" w:sz="0" w:space="0" w:color="000000"/>
              <w:insideV w:val="nil" w:sz="0" w:space="0" w:color="000000"/>
            </w:tcBorders>
            <w:tcMar>
              <w:top w:w="100" w:type="dxa"/>
              <w:left w:w="120" w:type="dxa"/>
              <w:bottom w:w="100" w:type="dxa"/>
              <w:right w:w="120" w:type="dxa"/>
            </w:tcMar>
            <w:vAlign w:val="center"/>
            <w:shd w:val="clear" w:color="auto" w:fill="FFFFFF"/>
          </w:tcPr>
          <w:p w14:paraId="57C5FAF8">
            <w:pPr>
              <w:spacing w:after="0" w:line="360" w:lineRule="exact" w:before="0"/>
              <w:ind w:firstLine="0"/>
              <w:jc w:val="center"/>
              <w:rPr>
                <w:color w:val="000000" w:themeColor="text1"/>
                <w14:textFill>
                  <w14:solidFill>
                    <w14:schemeClr w14:val="tx1"/>
                  </w14:solidFill>
                </w14:textFill>
              </w:rPr>
            </w:pPr>
            <w:r>
              <w:rPr>
                <w:rFonts w:ascii="Times New Roman" w:hAnsi="Times New Roman" w:eastAsia="宋体" w:cs="Times New Roman"/>
                <w:b w:val="0"/>
                <w:i w:val="0"/>
                <w:color w:val="000000" w:themeColor="text1"/>
                <w:sz w:val="21"/>
                <w14:textFill>
                  <w14:solidFill>
                    <w14:schemeClr w14:val="tx1"/>
                  </w14:solidFill>
                </w14:textFill>
              </w:rPr>
              <w:t>六路红外光电传感器</w:t>
            </w:r>
          </w:p>
        </w:tc>
        <w:tc>
          <w:tcPr>
            <w:tcW w:w="5021" w:type="dxa"/>
            <w:tcBorders>
              <w:top w:val="nil" w:color="000000" w:sz="0" w:space="0"/>
              <w:left w:val="nil" w:color="000000" w:sz="0" w:space="0"/>
              <w:bottom w:val="nil" w:color="000000" w:sz="0" w:space="0"/>
              <w:right w:val="nil" w:color="000000" w:sz="0" w:space="0"/>
              <w:insideH w:val="nil" w:sz="0" w:space="0" w:color="000000"/>
              <w:insideV w:val="nil" w:sz="0" w:space="0" w:color="000000"/>
            </w:tcBorders>
            <w:tcMar>
              <w:top w:w="100" w:type="dxa"/>
              <w:left w:w="120" w:type="dxa"/>
              <w:bottom w:w="100" w:type="dxa"/>
              <w:right w:w="120" w:type="dxa"/>
            </w:tcMar>
            <w:vAlign w:val="center"/>
            <w:shd w:val="clear" w:color="auto" w:fill="FFFFFF"/>
          </w:tcPr>
          <w:p w14:paraId="5C0B05A7">
            <w:pPr>
              <w:spacing w:after="0" w:line="360" w:lineRule="exact" w:before="0"/>
              <w:ind w:firstLine="0"/>
              <w:jc w:val="center"/>
              <w:rPr>
                <w:color w:val="000000" w:themeColor="text1"/>
                <w14:textFill>
                  <w14:solidFill>
                    <w14:schemeClr w14:val="tx1"/>
                  </w14:solidFill>
                </w14:textFill>
              </w:rPr>
            </w:pPr>
            <w:r>
              <w:rPr>
                <w:rFonts w:ascii="Times New Roman" w:hAnsi="Times New Roman" w:eastAsia="宋体" w:cs="Times New Roman"/>
                <w:b w:val="0"/>
                <w:i w:val="0"/>
                <w:color w:val="000000" w:themeColor="text1"/>
                <w:sz w:val="21"/>
                <w14:textFill>
                  <w14:solidFill>
                    <w14:schemeClr w14:val="tx1"/>
                  </w14:solidFill>
                </w14:textFill>
              </w:rPr>
              <w:t>计算黑线中心偏差</w:t>
            </w:r>
          </w:p>
        </w:tc>
      </w:tr>
      <w:tr w14:paraId="134D29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1500" w:type="dxa"/>
            <w:tcBorders>
              <w:top w:val="nil" w:color="000000" w:sz="0" w:space="0"/>
              <w:left w:val="nil" w:color="000000" w:sz="0" w:space="0"/>
              <w:bottom w:val="nil" w:color="000000" w:sz="0" w:space="0"/>
              <w:right w:val="nil" w:color="000000" w:sz="0" w:space="0"/>
              <w:insideH w:val="nil" w:sz="0" w:space="0" w:color="000000"/>
              <w:insideV w:val="nil" w:sz="0" w:space="0" w:color="000000"/>
            </w:tcBorders>
            <w:tcMar>
              <w:top w:w="100" w:type="dxa"/>
              <w:left w:w="120" w:type="dxa"/>
              <w:bottom w:w="100" w:type="dxa"/>
              <w:right w:w="120" w:type="dxa"/>
            </w:tcMar>
            <w:vAlign w:val="center"/>
            <w:shd w:val="clear" w:color="auto" w:fill="FFFFFF"/>
          </w:tcPr>
          <w:p w14:paraId="7EB0D325">
            <w:pPr>
              <w:spacing w:after="0" w:line="360" w:lineRule="exact" w:before="0"/>
              <w:ind w:firstLine="0"/>
              <w:jc w:val="center"/>
              <w:rPr>
                <w:color w:val="000000" w:themeColor="text1"/>
                <w14:textFill>
                  <w14:solidFill>
                    <w14:schemeClr w14:val="tx1"/>
                  </w14:solidFill>
                </w14:textFill>
              </w:rPr>
            </w:pPr>
            <w:r>
              <w:rPr>
                <w:rFonts w:ascii="Times New Roman" w:hAnsi="Times New Roman" w:eastAsia="宋体" w:cs="Times New Roman"/>
                <w:b w:val="0"/>
                <w:i w:val="0"/>
                <w:color w:val="000000" w:themeColor="text1"/>
                <w:sz w:val="21"/>
                <w14:textFill>
                  <w14:solidFill>
                    <w14:schemeClr w14:val="tx1"/>
                  </w14:solidFill>
                </w14:textFill>
              </w:rPr>
              <w:t>执行器</w:t>
            </w:r>
          </w:p>
        </w:tc>
        <w:tc>
          <w:tcPr>
            <w:tcW w:w="2550" w:type="dxa"/>
            <w:tcBorders>
              <w:top w:val="nil" w:color="000000" w:sz="0" w:space="0"/>
              <w:left w:val="nil" w:color="000000" w:sz="0" w:space="0"/>
              <w:bottom w:val="nil" w:color="000000" w:sz="0" w:space="0"/>
              <w:right w:val="nil" w:color="000000" w:sz="0" w:space="0"/>
              <w:insideH w:val="nil" w:sz="0" w:space="0" w:color="000000"/>
              <w:insideV w:val="nil" w:sz="0" w:space="0" w:color="000000"/>
            </w:tcBorders>
            <w:tcMar>
              <w:top w:w="100" w:type="dxa"/>
              <w:left w:w="120" w:type="dxa"/>
              <w:bottom w:w="100" w:type="dxa"/>
              <w:right w:w="120" w:type="dxa"/>
            </w:tcMar>
            <w:vAlign w:val="center"/>
            <w:shd w:val="clear" w:color="auto" w:fill="FFFFFF"/>
          </w:tcPr>
          <w:p w14:paraId="1DDCCA2E">
            <w:pPr>
              <w:spacing w:after="0" w:line="360" w:lineRule="exact" w:before="0"/>
              <w:ind w:firstLine="0"/>
              <w:jc w:val="center"/>
              <w:rPr>
                <w:color w:val="000000" w:themeColor="text1"/>
                <w14:textFill>
                  <w14:solidFill>
                    <w14:schemeClr w14:val="tx1"/>
                  </w14:solidFill>
                </w14:textFill>
              </w:rPr>
            </w:pPr>
            <w:r>
              <w:rPr>
                <w:rFonts w:ascii="Times New Roman" w:hAnsi="Times New Roman" w:eastAsia="宋体" w:cs="Times New Roman"/>
                <w:b w:val="0"/>
                <w:i w:val="0"/>
                <w:color w:val="000000" w:themeColor="text1"/>
                <w:sz w:val="21"/>
                <w14:textFill>
                  <w14:solidFill>
                    <w14:schemeClr w14:val="tx1"/>
                  </w14:solidFill>
                </w14:textFill>
              </w:rPr>
              <w:t>MS42步进电机 + 驱动板</w:t>
            </w:r>
          </w:p>
        </w:tc>
        <w:tc>
          <w:tcPr>
            <w:tcW w:w="5021" w:type="dxa"/>
            <w:tcBorders>
              <w:top w:val="nil" w:color="000000" w:sz="0" w:space="0"/>
              <w:left w:val="nil" w:color="000000" w:sz="0" w:space="0"/>
              <w:bottom w:val="nil" w:color="000000" w:sz="0" w:space="0"/>
              <w:right w:val="nil" w:color="000000" w:sz="0" w:space="0"/>
              <w:insideH w:val="nil" w:sz="0" w:space="0" w:color="000000"/>
              <w:insideV w:val="nil" w:sz="0" w:space="0" w:color="000000"/>
            </w:tcBorders>
            <w:tcMar>
              <w:top w:w="100" w:type="dxa"/>
              <w:left w:w="120" w:type="dxa"/>
              <w:bottom w:w="100" w:type="dxa"/>
              <w:right w:w="120" w:type="dxa"/>
            </w:tcMar>
            <w:vAlign w:val="center"/>
            <w:shd w:val="clear" w:color="auto" w:fill="FFFFFF"/>
          </w:tcPr>
          <w:p>
            <w:pPr>
              <w:spacing w:lineRule="exact" w:line="360" w:before="0" w:after="0"/>
              <w:ind w:firstLine="0"/>
              <w:jc w:val="center"/>
            </w:pPr>
            <w:r>
              <w:rPr>
                <w:rFonts w:ascii="Times New Roman" w:hAnsi="Times New Roman" w:eastAsia="宋体" w:cs="Times New Roman"/>
                <w:b w:val="0"/>
                <w:sz w:val="21"/>
              </w:rPr>
              <w:t>经齿轮齿条调节摆杆倾角</w:t>
            </w:r>
          </w:p>
        </w:tc>
      </w:tr>
      <w:tr w14:paraId="7B8A4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1500" w:type="dxa"/>
            <w:tcBorders>
              <w:top w:val="nil" w:color="000000" w:sz="0" w:space="0"/>
              <w:left w:val="nil" w:color="000000" w:sz="0" w:space="0"/>
              <w:bottom w:val="nil" w:color="000000" w:sz="0" w:space="0"/>
              <w:right w:val="nil" w:color="000000" w:sz="0" w:space="0"/>
              <w:insideH w:val="nil" w:sz="0" w:space="0" w:color="000000"/>
              <w:insideV w:val="nil" w:sz="0" w:space="0" w:color="000000"/>
            </w:tcBorders>
            <w:tcMar>
              <w:top w:w="100" w:type="dxa"/>
              <w:left w:w="120" w:type="dxa"/>
              <w:bottom w:w="100" w:type="dxa"/>
              <w:right w:w="120" w:type="dxa"/>
            </w:tcMar>
            <w:vAlign w:val="center"/>
            <w:shd w:val="clear" w:color="auto" w:fill="FFFFFF"/>
          </w:tcPr>
          <w:p w14:paraId="05CA69C7">
            <w:pPr>
              <w:spacing w:after="0" w:line="360" w:lineRule="exact" w:before="0"/>
              <w:ind w:firstLine="0"/>
              <w:jc w:val="center"/>
              <w:rPr>
                <w:color w:val="000000" w:themeColor="text1"/>
                <w14:textFill>
                  <w14:solidFill>
                    <w14:schemeClr w14:val="tx1"/>
                  </w14:solidFill>
                </w14:textFill>
              </w:rPr>
            </w:pPr>
            <w:r>
              <w:rPr>
                <w:rFonts w:ascii="Times New Roman" w:hAnsi="Times New Roman" w:eastAsia="宋体" w:cs="Times New Roman"/>
                <w:b w:val="0"/>
                <w:i w:val="0"/>
                <w:color w:val="000000" w:themeColor="text1"/>
                <w:sz w:val="21"/>
                <w14:textFill>
                  <w14:solidFill>
                    <w14:schemeClr w14:val="tx1"/>
                  </w14:solidFill>
                </w14:textFill>
              </w:rPr>
              <w:t>底盘驱动</w:t>
            </w:r>
          </w:p>
        </w:tc>
        <w:tc>
          <w:tcPr>
            <w:tcW w:w="2550" w:type="dxa"/>
            <w:tcBorders>
              <w:top w:val="nil" w:color="000000" w:sz="0" w:space="0"/>
              <w:left w:val="nil" w:color="000000" w:sz="0" w:space="0"/>
              <w:bottom w:val="nil" w:color="000000" w:sz="0" w:space="0"/>
              <w:right w:val="nil" w:color="000000" w:sz="0" w:space="0"/>
              <w:insideH w:val="nil" w:sz="0" w:space="0" w:color="000000"/>
              <w:insideV w:val="nil" w:sz="0" w:space="0" w:color="000000"/>
            </w:tcBorders>
            <w:tcMar>
              <w:top w:w="100" w:type="dxa"/>
              <w:left w:w="120" w:type="dxa"/>
              <w:bottom w:w="100" w:type="dxa"/>
              <w:right w:w="120" w:type="dxa"/>
            </w:tcMar>
            <w:vAlign w:val="center"/>
            <w:shd w:val="clear" w:color="auto" w:fill="FFFFFF"/>
          </w:tcPr>
          <w:p w14:paraId="5FC77625">
            <w:pPr>
              <w:spacing w:after="0" w:line="360" w:lineRule="exact" w:before="0"/>
              <w:ind w:firstLine="0"/>
              <w:jc w:val="center"/>
              <w:rPr>
                <w:color w:val="000000" w:themeColor="text1"/>
                <w14:textFill>
                  <w14:solidFill>
                    <w14:schemeClr w14:val="tx1"/>
                  </w14:solidFill>
                </w14:textFill>
              </w:rPr>
            </w:pPr>
            <w:r>
              <w:rPr>
                <w:rFonts w:ascii="Times New Roman" w:hAnsi="Times New Roman" w:eastAsia="宋体" w:cs="Times New Roman"/>
                <w:b w:val="0"/>
                <w:i w:val="0"/>
                <w:color w:val="000000" w:themeColor="text1"/>
                <w:sz w:val="21"/>
                <w14:textFill>
                  <w14:solidFill>
                    <w14:schemeClr w14:val="tx1"/>
                  </w14:solidFill>
                </w14:textFill>
              </w:rPr>
              <w:t>TB6612双路驱动</w:t>
            </w:r>
          </w:p>
        </w:tc>
        <w:tc>
          <w:tcPr>
            <w:tcW w:w="5021" w:type="dxa"/>
            <w:tcBorders>
              <w:top w:val="nil" w:color="000000" w:sz="0" w:space="0"/>
              <w:left w:val="nil" w:color="000000" w:sz="0" w:space="0"/>
              <w:bottom w:val="nil" w:color="000000" w:sz="0" w:space="0"/>
              <w:right w:val="nil" w:color="000000" w:sz="0" w:space="0"/>
              <w:insideH w:val="nil" w:sz="0" w:space="0" w:color="000000"/>
              <w:insideV w:val="nil" w:sz="0" w:space="0" w:color="000000"/>
            </w:tcBorders>
            <w:tcMar>
              <w:top w:w="100" w:type="dxa"/>
              <w:left w:w="120" w:type="dxa"/>
              <w:bottom w:w="100" w:type="dxa"/>
              <w:right w:w="120" w:type="dxa"/>
            </w:tcMar>
            <w:vAlign w:val="center"/>
            <w:shd w:val="clear" w:color="auto" w:fill="FFFFFF"/>
          </w:tcPr>
          <w:p w14:paraId="4A95BE3D">
            <w:pPr>
              <w:spacing w:after="0" w:line="360" w:lineRule="exact" w:before="0"/>
              <w:ind w:firstLine="0"/>
              <w:jc w:val="center"/>
              <w:rPr>
                <w:color w:val="000000" w:themeColor="text1"/>
                <w14:textFill>
                  <w14:solidFill>
                    <w14:schemeClr w14:val="tx1"/>
                  </w14:solidFill>
                </w14:textFill>
              </w:rPr>
            </w:pPr>
            <w:r>
              <w:rPr>
                <w:rFonts w:ascii="Times New Roman" w:hAnsi="Times New Roman" w:eastAsia="宋体" w:cs="Times New Roman"/>
                <w:b w:val="0"/>
                <w:i w:val="0"/>
                <w:color w:val="000000" w:themeColor="text1"/>
                <w:sz w:val="21"/>
                <w14:textFill>
                  <w14:solidFill>
                    <w14:schemeClr w14:val="tx1"/>
                  </w14:solidFill>
                </w14:textFill>
              </w:rPr>
              <w:t>驱动小车电机并实现差速转向</w:t>
            </w:r>
          </w:p>
        </w:tc>
      </w:tr>
      <w:tr w14:paraId="35649A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1500" w:type="dxa"/>
            <w:tcBorders>
              <w:top w:val="nil" w:color="000000" w:sz="0" w:space="0"/>
              <w:left w:val="nil" w:color="000000" w:sz="0" w:space="0"/>
              <w:bottom w:val="nil" w:color="000000" w:sz="0" w:space="0"/>
              <w:right w:val="nil" w:color="000000" w:sz="0" w:space="0"/>
              <w:insideH w:val="nil" w:sz="0" w:space="0" w:color="000000"/>
              <w:insideV w:val="nil" w:sz="0" w:space="0" w:color="000000"/>
            </w:tcBorders>
            <w:tcMar>
              <w:top w:w="100" w:type="dxa"/>
              <w:left w:w="120" w:type="dxa"/>
              <w:bottom w:w="100" w:type="dxa"/>
              <w:right w:w="120" w:type="dxa"/>
            </w:tcMar>
            <w:vAlign w:val="center"/>
            <w:shd w:val="clear" w:color="auto" w:fill="FFFFFF"/>
          </w:tcPr>
          <w:p w14:paraId="51921043">
            <w:pPr>
              <w:spacing w:after="0" w:line="360" w:lineRule="exact" w:before="0"/>
              <w:ind w:firstLine="0"/>
              <w:jc w:val="center"/>
              <w:rPr>
                <w:color w:val="000000" w:themeColor="text1"/>
                <w14:textFill>
                  <w14:solidFill>
                    <w14:schemeClr w14:val="tx1"/>
                  </w14:solidFill>
                </w14:textFill>
              </w:rPr>
            </w:pPr>
            <w:r>
              <w:rPr>
                <w:rFonts w:ascii="Times New Roman" w:hAnsi="Times New Roman" w:eastAsia="宋体" w:cs="Times New Roman"/>
                <w:b w:val="0"/>
                <w:i w:val="0"/>
                <w:color w:val="000000" w:themeColor="text1"/>
                <w:sz w:val="21"/>
                <w14:textFill>
                  <w14:solidFill>
                    <w14:schemeClr w14:val="tx1"/>
                  </w14:solidFill>
                </w14:textFill>
              </w:rPr>
              <w:t>人机交互</w:t>
            </w:r>
          </w:p>
        </w:tc>
        <w:tc>
          <w:tcPr>
            <w:tcW w:w="2550" w:type="dxa"/>
            <w:tcBorders>
              <w:top w:val="nil" w:color="000000" w:sz="0" w:space="0"/>
              <w:left w:val="nil" w:color="000000" w:sz="0" w:space="0"/>
              <w:bottom w:val="nil" w:color="000000" w:sz="0" w:space="0"/>
              <w:right w:val="nil" w:color="000000" w:sz="0" w:space="0"/>
              <w:insideH w:val="nil" w:sz="0" w:space="0" w:color="000000"/>
              <w:insideV w:val="nil" w:sz="0" w:space="0" w:color="000000"/>
            </w:tcBorders>
            <w:tcMar>
              <w:top w:w="100" w:type="dxa"/>
              <w:left w:w="120" w:type="dxa"/>
              <w:bottom w:w="100" w:type="dxa"/>
              <w:right w:w="120" w:type="dxa"/>
            </w:tcMar>
            <w:vAlign w:val="center"/>
            <w:shd w:val="clear" w:color="auto" w:fill="FFFFFF"/>
          </w:tcPr>
          <w:p w14:paraId="6BDADDA9">
            <w:pPr>
              <w:spacing w:after="0" w:line="360" w:lineRule="exact" w:before="0"/>
              <w:ind w:firstLine="0"/>
              <w:jc w:val="center"/>
              <w:rPr>
                <w:color w:val="000000" w:themeColor="text1"/>
                <w14:textFill>
                  <w14:solidFill>
                    <w14:schemeClr w14:val="tx1"/>
                  </w14:solidFill>
                </w14:textFill>
              </w:rPr>
            </w:pPr>
            <w:r>
              <w:rPr>
                <w:rFonts w:ascii="Times New Roman" w:hAnsi="Times New Roman" w:eastAsia="宋体" w:cs="Times New Roman"/>
                <w:b w:val="0"/>
                <w:i w:val="0"/>
                <w:color w:val="000000" w:themeColor="text1"/>
                <w:sz w:val="21"/>
                <w14:textFill>
                  <w14:solidFill>
                    <w14:schemeClr w14:val="tx1"/>
                  </w14:solidFill>
                </w14:textFill>
              </w:rPr>
              <w:t>OLED、按键、蜂鸣器</w:t>
            </w:r>
          </w:p>
        </w:tc>
        <w:tc>
          <w:tcPr>
            <w:tcW w:w="5021" w:type="dxa"/>
            <w:tcBorders>
              <w:top w:val="nil" w:color="000000" w:sz="0" w:space="0"/>
              <w:left w:val="nil" w:color="000000" w:sz="0" w:space="0"/>
              <w:bottom w:val="nil" w:color="000000" w:sz="0" w:space="0"/>
              <w:right w:val="nil" w:color="000000" w:sz="0" w:space="0"/>
              <w:insideH w:val="nil" w:sz="0" w:space="0" w:color="000000"/>
              <w:insideV w:val="nil" w:sz="0" w:space="0" w:color="000000"/>
            </w:tcBorders>
            <w:tcMar>
              <w:top w:w="100" w:type="dxa"/>
              <w:left w:w="120" w:type="dxa"/>
              <w:bottom w:w="100" w:type="dxa"/>
              <w:right w:w="120" w:type="dxa"/>
            </w:tcMar>
            <w:vAlign w:val="center"/>
            <w:shd w:val="clear" w:color="auto" w:fill="FFFFFF"/>
          </w:tcPr>
          <w:p w14:paraId="34052D3E">
            <w:pPr>
              <w:spacing w:after="0" w:line="360" w:lineRule="exact" w:before="0"/>
              <w:ind w:firstLine="0"/>
              <w:jc w:val="center"/>
              <w:rPr>
                <w:color w:val="000000" w:themeColor="text1"/>
                <w14:textFill>
                  <w14:solidFill>
                    <w14:schemeClr w14:val="tx1"/>
                  </w14:solidFill>
                </w14:textFill>
              </w:rPr>
            </w:pPr>
            <w:r>
              <w:rPr>
                <w:rFonts w:ascii="Times New Roman" w:hAnsi="Times New Roman" w:eastAsia="宋体" w:cs="Times New Roman"/>
                <w:b w:val="0"/>
                <w:i w:val="0"/>
                <w:color w:val="000000" w:themeColor="text1"/>
                <w:sz w:val="21"/>
                <w14:textFill>
                  <w14:solidFill>
                    <w14:schemeClr w14:val="tx1"/>
                  </w14:solidFill>
                </w14:textFill>
              </w:rPr>
              <w:t>启动、模式选择、计时显示和提示</w:t>
            </w:r>
          </w:p>
        </w:tc>
      </w:tr>
    </w:tbl>
    <w:p w14:paraId="795311D3">
      <w:pPr>
        <w:pStyle w:val="4"/>
        <w:keepNext/>
        <w:widowControl/>
        <w:spacing w:before="100" w:after="20" w:line="440" w:lineRule="exact"/>
        <w:ind w:firstLine="0"/>
        <w:jc w:val="left"/>
        <w:rPr>
          <w:color w:val="000000" w:themeColor="text1"/>
          <w14:textFill>
            <w14:solidFill>
              <w14:schemeClr w14:val="tx1"/>
            </w14:solidFill>
          </w14:textFill>
        </w:rPr>
      </w:pPr>
      <w:r>
        <w:rPr>
          <w:rFonts w:ascii="黑体" w:hAnsi="黑体" w:eastAsia="黑体"/>
          <w:b/>
          <w:i w:val="0"/>
          <w:color w:val="000000" w:themeColor="text1"/>
          <w:sz w:val="30"/>
          <w14:textFill>
            <w14:solidFill>
              <w14:schemeClr w14:val="tx1"/>
            </w14:solidFill>
          </w14:textFill>
        </w:rPr>
        <w:t>2.2 钢球视觉检测与支架方案论证</w:t>
      </w:r>
    </w:p>
    <w:p w14:paraId="62E877A1">
      <w:pPr>
        <w:widowControl/>
        <w:spacing w:before="0" w:after="0" w:line="440" w:lineRule="exact"/>
        <w:ind w:firstLine="482"/>
        <w:jc w:val="both"/>
        <w:rPr>
          <w:color w:val="000000" w:themeColor="text1"/>
          <w14:textFill>
            <w14:solidFill>
              <w14:schemeClr w14:val="tx1"/>
            </w14:solidFill>
          </w14:textFill>
        </w:rPr>
      </w:pPr>
      <w:r>
        <w:rPr>
          <w:rFonts w:ascii="Times New Roman" w:hAnsi="Times New Roman" w:eastAsia="宋体" w:cs="Times New Roman"/>
          <w:b w:val="0"/>
          <w:i w:val="0"/>
          <w:color w:val="000000" w:themeColor="text1"/>
          <w:sz w:val="24"/>
          <w14:textFill>
            <w14:solidFill>
              <w14:schemeClr w14:val="tx1"/>
            </w14:solidFill>
          </w14:textFill>
        </w:rPr>
        <w:t>本系统从设计初期即确定采用K230视觉模块检测钢球位置，通过摄像头获取连续坐标并兼顾图传记录，因此未再采用光电分段检测方案。初版结构只在摆杆一侧设置局部架高的单立杆支架，摄像头固定在伸出的横杆上；静止调试时能够覆盖摆杆，但小车启动、转弯和制动时，支撑杆与摄像头会产生可见晃动，导致画面基准漂移，像素坐标与摆杆刻度的标定重复性下降。随后将支架改为横跨摆杆两侧的龙门架，以双侧立柱和顶部横梁固定摄像头，缩短悬臂长度并提高整体刚度。改进后摄像头与摆杆的相对位置更稳定，重新装配后的视场和标定关系也更容易复现，故最终采用龙门架方案。</w:t>
      </w:r>
    </w:p>
    <w:p w14:paraId="14A5B85F">
      <w:pPr>
        <w:pStyle w:val="4"/>
        <w:keepNext/>
        <w:widowControl/>
        <w:spacing w:before="100" w:after="20" w:line="440" w:lineRule="exact"/>
        <w:ind w:firstLine="0"/>
        <w:jc w:val="left"/>
        <w:rPr>
          <w:color w:val="000000" w:themeColor="text1"/>
          <w14:textFill>
            <w14:solidFill>
              <w14:schemeClr w14:val="tx1"/>
            </w14:solidFill>
          </w14:textFill>
        </w:rPr>
      </w:pPr>
      <w:r>
        <w:rPr>
          <w:rFonts w:ascii="黑体" w:hAnsi="黑体" w:eastAsia="黑体"/>
          <w:b/>
          <w:i w:val="0"/>
          <w:color w:val="000000" w:themeColor="text1"/>
          <w:sz w:val="30"/>
          <w14:textFill>
            <w14:solidFill>
              <w14:schemeClr w14:val="tx1"/>
            </w14:solidFill>
          </w14:textFill>
        </w:rPr>
        <w:t>2.3 摆杆执行机构方案论证</w:t>
      </w:r>
    </w:p>
    <w:p w14:paraId="19B2459A">
      <w:pPr>
        <w:widowControl/>
        <w:spacing w:before="0" w:after="0" w:line="440" w:lineRule="exact"/>
        <w:ind w:firstLine="482"/>
        <w:jc w:val="both"/>
        <w:rPr>
          <w:color w:val="000000" w:themeColor="text1"/>
          <w14:textFill>
            <w14:solidFill>
              <w14:schemeClr w14:val="tx1"/>
            </w14:solidFill>
          </w14:textFill>
        </w:rPr>
      </w:pPr>
      <w:r>
        <w:rPr>
          <w:rFonts w:ascii="Times New Roman" w:hAnsi="Times New Roman" w:eastAsia="宋体" w:cs="Times New Roman"/>
          <w:b w:val="0"/>
          <w:i w:val="0"/>
          <w:color w:val="000000" w:themeColor="text1"/>
          <w:sz w:val="24"/>
          <w14:textFill>
            <w14:solidFill>
              <w14:schemeClr w14:val="tx1"/>
            </w14:solidFill>
          </w14:textFill>
        </w:rPr>
        <w:t>摆杆升降机构先后试制了曲轴连杆和齿轮齿条两种结构。曲轴连杆方案由电机带动曲轴，再经连杆推动管道端部升降，结构较紧凑且能够完成基本动作；但曲轴转角与端部位移呈非线性关系，接近极限位置时存在近似死点，铰接间隙还会在换向时放大管道晃动，不利于建立稳定的步数—高度标定关系。齿轮齿条方案由MS42步进电机及驱动板带动齿轮，使竖直齿条连续升降，电机步数与端部位移的对应关系更直接，便于设置零位、行程限位和速度规划；配合导向结构后，升降过程的横向摆动也更小。两种方案均完成建模和试装后，最终选用齿轮齿条结构。</w:t>
      </w:r>
    </w:p>
    <w:p w14:paraId="017CD749">
      <w:pPr>
        <w:pStyle w:val="15"/>
        <w:keepNext/>
        <w:widowControl/>
        <w:spacing w:before="100" w:after="60" w:line="320" w:lineRule="exact"/>
        <w:ind w:firstLine="0"/>
        <w:jc w:val="center"/>
        <w:rPr>
          <w:color w:val="000000" w:themeColor="text1"/>
          <w14:textFill>
            <w14:solidFill>
              <w14:schemeClr w14:val="tx1"/>
            </w14:solidFill>
          </w14:textFill>
        </w:rPr>
      </w:pPr>
      <w:r>
        <w:t>表2  摆杆升降机构试制方案比较</w:t>
      </w:r>
    </w:p>
    <w:tbl>
      <w:tblPr>
        <w:tblW w:w="9071" w:type="dxa"/>
        <w:jc w:val="left"/>
        <w:tblBorders>
          <w:top w:val="single" w:color="000000" w:sz="18" w:space="0"/>
          <w:left w:val="nil" w:color="000000" w:sz="0" w:space="0"/>
          <w:bottom w:val="single" w:color="000000" w:sz="18" w:space="0"/>
          <w:right w:val="nil" w:color="000000" w:sz="0" w:space="0"/>
          <w:insideH w:val="nil" w:color="000000" w:sz="0" w:space="0"/>
          <w:insideV w:val="nil" w:color="000000" w:sz="0" w:space="0"/>
        </w:tblBorders>
        <w:tblLayout w:type="fixed"/>
        <w:tblCellMar>
          <w:top w:w="0" w:type="dxa"/>
          <w:left w:w="108" w:type="dxa"/>
          <w:bottom w:w="0" w:type="dxa"/>
          <w:right w:w="108" w:type="dxa"/>
        </w:tblCellMar>
        <w:tblInd w:type="dxa" w:w="0"/>
      </w:tblPr>
      <w:tblGrid>
        <w:gridCol w:w="1450"/>
        <w:gridCol w:w="1800"/>
        <w:gridCol w:w="4200"/>
        <w:gridCol w:w="1621"/>
      </w:tblGrid>
      <w:tr w14:paraId="5A6B0B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cantSplit/>
        </w:trPr>
        <w:tc>
          <w:tcPr>
            <w:tcW w:w="1450" w:type="dxa"/>
            <w:tcBorders>
              <w:top w:val="nil" w:color="000000" w:sz="0" w:space="0"/>
              <w:left w:val="nil" w:color="000000" w:sz="0" w:space="0"/>
              <w:bottom w:val="single" w:color="000000" w:sz="8" w:space="0"/>
              <w:right w:val="nil" w:color="000000" w:sz="0" w:space="0"/>
              <w:insideH w:val="nil" w:sz="0" w:space="0" w:color="000000"/>
              <w:insideV w:val="nil" w:sz="0" w:space="0" w:color="000000"/>
            </w:tcBorders>
            <w:shd w:val="clear" w:color="auto" w:fill="E8EEF4"/>
            <w:tcMar>
              <w:top w:w="100" w:type="dxa"/>
              <w:left w:w="120" w:type="dxa"/>
              <w:bottom w:w="100" w:type="dxa"/>
              <w:right w:w="120" w:type="dxa"/>
            </w:tcMar>
            <w:vAlign w:val="center"/>
          </w:tcPr>
          <w:p w14:paraId="43ED0DE6">
            <w:pPr>
              <w:spacing w:after="0" w:line="360" w:lineRule="exact" w:before="0"/>
              <w:ind w:firstLine="0"/>
              <w:jc w:val="center"/>
              <w:rPr>
                <w:color w:val="000000" w:themeColor="text1"/>
                <w14:textFill>
                  <w14:solidFill>
                    <w14:schemeClr w14:val="tx1"/>
                  </w14:solidFill>
                </w14:textFill>
              </w:rPr>
            </w:pPr>
            <w:r>
              <w:rPr>
                <w:rFonts w:ascii="Times New Roman" w:hAnsi="Times New Roman" w:eastAsia="宋体" w:cs="Times New Roman"/>
                <w:b/>
                <w:i w:val="0"/>
                <w:color w:val="000000" w:themeColor="text1"/>
                <w:sz w:val="21"/>
                <w14:textFill>
                  <w14:solidFill>
                    <w14:schemeClr w14:val="tx1"/>
                  </w14:solidFill>
                </w14:textFill>
              </w:rPr>
              <w:t>方案</w:t>
            </w:r>
          </w:p>
        </w:tc>
        <w:tc>
          <w:tcPr>
            <w:tcW w:w="1800" w:type="dxa"/>
            <w:tcBorders>
              <w:top w:val="nil" w:color="000000" w:sz="0" w:space="0"/>
              <w:left w:val="nil" w:color="000000" w:sz="0" w:space="0"/>
              <w:bottom w:val="single" w:color="000000" w:sz="8" w:space="0"/>
              <w:right w:val="nil" w:color="000000" w:sz="0" w:space="0"/>
              <w:insideH w:val="nil" w:sz="0" w:space="0" w:color="000000"/>
              <w:insideV w:val="nil" w:sz="0" w:space="0" w:color="000000"/>
            </w:tcBorders>
            <w:shd w:val="clear" w:color="auto" w:fill="E8EEF4"/>
            <w:tcMar>
              <w:top w:w="100" w:type="dxa"/>
              <w:left w:w="120" w:type="dxa"/>
              <w:bottom w:w="100" w:type="dxa"/>
              <w:right w:w="120" w:type="dxa"/>
            </w:tcMar>
            <w:vAlign w:val="center"/>
          </w:tcPr>
          <w:p w14:paraId="557EC768">
            <w:pPr>
              <w:spacing w:after="0" w:line="360" w:lineRule="exact" w:before="0"/>
              <w:ind w:firstLine="0"/>
              <w:jc w:val="center"/>
              <w:rPr>
                <w:color w:val="000000" w:themeColor="text1"/>
                <w14:textFill>
                  <w14:solidFill>
                    <w14:schemeClr w14:val="tx1"/>
                  </w14:solidFill>
                </w14:textFill>
              </w:rPr>
            </w:pPr>
            <w:r>
              <w:rPr>
                <w:rFonts w:ascii="Times New Roman" w:hAnsi="Times New Roman" w:eastAsia="宋体" w:cs="Times New Roman"/>
                <w:b/>
                <w:i w:val="0"/>
                <w:color w:val="000000" w:themeColor="text1"/>
                <w:sz w:val="21"/>
                <w14:textFill>
                  <w14:solidFill>
                    <w14:schemeClr w14:val="tx1"/>
                  </w14:solidFill>
                </w14:textFill>
              </w:rPr>
              <w:t>试制表现</w:t>
            </w:r>
          </w:p>
        </w:tc>
        <w:tc>
          <w:tcPr>
            <w:tcW w:w="4200" w:type="dxa"/>
            <w:tcBorders>
              <w:top w:val="nil" w:color="000000" w:sz="0" w:space="0"/>
              <w:left w:val="nil" w:color="000000" w:sz="0" w:space="0"/>
              <w:bottom w:val="single" w:color="000000" w:sz="8" w:space="0"/>
              <w:right w:val="nil" w:color="000000" w:sz="0" w:space="0"/>
              <w:insideH w:val="nil" w:sz="0" w:space="0" w:color="000000"/>
              <w:insideV w:val="nil" w:sz="0" w:space="0" w:color="000000"/>
            </w:tcBorders>
            <w:shd w:val="clear" w:color="auto" w:fill="E8EEF4"/>
            <w:tcMar>
              <w:top w:w="100" w:type="dxa"/>
              <w:left w:w="120" w:type="dxa"/>
              <w:bottom w:w="100" w:type="dxa"/>
              <w:right w:w="120" w:type="dxa"/>
            </w:tcMar>
            <w:vAlign w:val="center"/>
          </w:tcPr>
          <w:p w14:paraId="3FC35EC2">
            <w:pPr>
              <w:spacing w:after="0" w:line="360" w:lineRule="exact" w:before="0"/>
              <w:ind w:firstLine="0"/>
              <w:jc w:val="center"/>
              <w:rPr>
                <w:color w:val="000000" w:themeColor="text1"/>
                <w14:textFill>
                  <w14:solidFill>
                    <w14:schemeClr w14:val="tx1"/>
                  </w14:solidFill>
                </w14:textFill>
              </w:rPr>
            </w:pPr>
            <w:r>
              <w:rPr>
                <w:rFonts w:ascii="Times New Roman" w:hAnsi="Times New Roman" w:eastAsia="宋体" w:cs="Times New Roman"/>
                <w:b/>
                <w:i w:val="0"/>
                <w:color w:val="000000" w:themeColor="text1"/>
                <w:sz w:val="21"/>
                <w14:textFill>
                  <w14:solidFill>
                    <w14:schemeClr w14:val="tx1"/>
                  </w14:solidFill>
                </w14:textFill>
              </w:rPr>
              <w:t>控制与结构特性</w:t>
            </w:r>
          </w:p>
        </w:tc>
        <w:tc>
          <w:tcPr>
            <w:tcW w:w="1621" w:type="dxa"/>
            <w:tcBorders>
              <w:top w:val="nil" w:color="000000" w:sz="0" w:space="0"/>
              <w:left w:val="nil" w:color="000000" w:sz="0" w:space="0"/>
              <w:bottom w:val="single" w:color="000000" w:sz="8" w:space="0"/>
              <w:right w:val="nil" w:color="000000" w:sz="0" w:space="0"/>
              <w:insideH w:val="nil" w:sz="0" w:space="0" w:color="000000"/>
              <w:insideV w:val="nil" w:sz="0" w:space="0" w:color="000000"/>
            </w:tcBorders>
            <w:shd w:val="clear" w:color="auto" w:fill="E8EEF4"/>
            <w:tcMar>
              <w:top w:w="100" w:type="dxa"/>
              <w:left w:w="120" w:type="dxa"/>
              <w:bottom w:w="100" w:type="dxa"/>
              <w:right w:w="120" w:type="dxa"/>
            </w:tcMar>
            <w:vAlign w:val="center"/>
          </w:tcPr>
          <w:p w14:paraId="029998C3">
            <w:pPr>
              <w:spacing w:after="0" w:line="360" w:lineRule="exact" w:before="0"/>
              <w:ind w:firstLine="0"/>
              <w:jc w:val="center"/>
              <w:rPr>
                <w:color w:val="000000" w:themeColor="text1"/>
                <w14:textFill>
                  <w14:solidFill>
                    <w14:schemeClr w14:val="tx1"/>
                  </w14:solidFill>
                </w14:textFill>
              </w:rPr>
            </w:pPr>
            <w:r>
              <w:rPr>
                <w:rFonts w:ascii="Times New Roman" w:hAnsi="Times New Roman" w:eastAsia="宋体" w:cs="Times New Roman"/>
                <w:b/>
                <w:i w:val="0"/>
                <w:color w:val="000000" w:themeColor="text1"/>
                <w:sz w:val="21"/>
                <w14:textFill>
                  <w14:solidFill>
                    <w14:schemeClr w14:val="tx1"/>
                  </w14:solidFill>
                </w14:textFill>
              </w:rPr>
              <w:t>结论</w:t>
            </w:r>
          </w:p>
        </w:tc>
      </w:tr>
      <w:tr w14:paraId="5F05A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1450" w:type="dxa"/>
            <w:tcBorders>
              <w:top w:val="nil" w:color="000000" w:sz="0" w:space="0"/>
              <w:left w:val="nil" w:color="000000" w:sz="0" w:space="0"/>
              <w:bottom w:val="nil" w:color="000000" w:sz="0" w:space="0"/>
              <w:right w:val="nil" w:color="000000" w:sz="0" w:space="0"/>
              <w:insideH w:val="nil" w:sz="0" w:space="0" w:color="000000"/>
              <w:insideV w:val="nil" w:sz="0" w:space="0" w:color="000000"/>
            </w:tcBorders>
            <w:tcMar>
              <w:top w:w="100" w:type="dxa"/>
              <w:left w:w="120" w:type="dxa"/>
              <w:bottom w:w="100" w:type="dxa"/>
              <w:right w:w="120" w:type="dxa"/>
            </w:tcMar>
            <w:vAlign w:val="center"/>
            <w:shd w:val="clear" w:color="auto" w:fill="FFFFFF"/>
          </w:tcPr>
          <w:p w14:paraId="6999114D">
            <w:pPr>
              <w:spacing w:after="0" w:line="360" w:lineRule="exact" w:before="0"/>
              <w:ind w:firstLine="0"/>
              <w:jc w:val="center"/>
              <w:rPr>
                <w:color w:val="000000" w:themeColor="text1"/>
                <w14:textFill>
                  <w14:solidFill>
                    <w14:schemeClr w14:val="tx1"/>
                  </w14:solidFill>
                </w14:textFill>
              </w:rPr>
            </w:pPr>
            <w:r>
              <w:rPr>
                <w:rFonts w:ascii="Times New Roman" w:hAnsi="Times New Roman" w:eastAsia="宋体" w:cs="Times New Roman"/>
                <w:b w:val="0"/>
                <w:i w:val="0"/>
                <w:color w:val="000000" w:themeColor="text1"/>
                <w:sz w:val="21"/>
                <w14:textFill>
                  <w14:solidFill>
                    <w14:schemeClr w14:val="tx1"/>
                  </w14:solidFill>
                </w14:textFill>
              </w:rPr>
              <w:t>曲轴连杆</w:t>
            </w:r>
          </w:p>
        </w:tc>
        <w:tc>
          <w:tcPr>
            <w:tcW w:w="1800" w:type="dxa"/>
            <w:tcBorders>
              <w:top w:val="nil" w:color="000000" w:sz="0" w:space="0"/>
              <w:left w:val="nil" w:color="000000" w:sz="0" w:space="0"/>
              <w:bottom w:val="nil" w:color="000000" w:sz="0" w:space="0"/>
              <w:right w:val="nil" w:color="000000" w:sz="0" w:space="0"/>
              <w:insideH w:val="nil" w:sz="0" w:space="0" w:color="000000"/>
              <w:insideV w:val="nil" w:sz="0" w:space="0" w:color="000000"/>
            </w:tcBorders>
            <w:tcMar>
              <w:top w:w="100" w:type="dxa"/>
              <w:left w:w="120" w:type="dxa"/>
              <w:bottom w:w="100" w:type="dxa"/>
              <w:right w:w="120" w:type="dxa"/>
            </w:tcMar>
            <w:vAlign w:val="center"/>
            <w:shd w:val="clear" w:color="auto" w:fill="FFFFFF"/>
          </w:tcPr>
          <w:p w14:paraId="1300B4DD">
            <w:pPr>
              <w:spacing w:after="0" w:line="360" w:lineRule="exact" w:before="0"/>
              <w:ind w:firstLine="0"/>
              <w:jc w:val="center"/>
              <w:rPr>
                <w:color w:val="000000" w:themeColor="text1"/>
                <w14:textFill>
                  <w14:solidFill>
                    <w14:schemeClr w14:val="tx1"/>
                  </w14:solidFill>
                </w14:textFill>
              </w:rPr>
            </w:pPr>
            <w:r>
              <w:rPr>
                <w:rFonts w:ascii="Times New Roman" w:hAnsi="Times New Roman" w:eastAsia="宋体" w:cs="Times New Roman"/>
                <w:b w:val="0"/>
                <w:i w:val="0"/>
                <w:color w:val="000000" w:themeColor="text1"/>
                <w:sz w:val="21"/>
                <w14:textFill>
                  <w14:solidFill>
                    <w14:schemeClr w14:val="tx1"/>
                  </w14:solidFill>
                </w14:textFill>
              </w:rPr>
              <w:t>可实现摆杆端部升降</w:t>
            </w:r>
          </w:p>
        </w:tc>
        <w:tc>
          <w:tcPr>
            <w:tcW w:w="4200" w:type="dxa"/>
            <w:tcBorders>
              <w:top w:val="nil" w:color="000000" w:sz="0" w:space="0"/>
              <w:left w:val="nil" w:color="000000" w:sz="0" w:space="0"/>
              <w:bottom w:val="nil" w:color="000000" w:sz="0" w:space="0"/>
              <w:right w:val="nil" w:color="000000" w:sz="0" w:space="0"/>
              <w:insideH w:val="nil" w:sz="0" w:space="0" w:color="000000"/>
              <w:insideV w:val="nil" w:sz="0" w:space="0" w:color="000000"/>
            </w:tcBorders>
            <w:tcMar>
              <w:top w:w="100" w:type="dxa"/>
              <w:left w:w="120" w:type="dxa"/>
              <w:bottom w:w="100" w:type="dxa"/>
              <w:right w:w="120" w:type="dxa"/>
            </w:tcMar>
            <w:vAlign w:val="center"/>
            <w:shd w:val="clear" w:color="auto" w:fill="FFFFFF"/>
          </w:tcPr>
          <w:p w14:paraId="46592031">
            <w:pPr>
              <w:spacing w:after="0" w:line="360" w:lineRule="exact" w:before="0"/>
              <w:ind w:firstLine="0"/>
              <w:jc w:val="center"/>
              <w:rPr>
                <w:color w:val="000000" w:themeColor="text1"/>
                <w14:textFill>
                  <w14:solidFill>
                    <w14:schemeClr w14:val="tx1"/>
                  </w14:solidFill>
                </w14:textFill>
              </w:rPr>
            </w:pPr>
            <w:r>
              <w:rPr>
                <w:rFonts w:ascii="Times New Roman" w:hAnsi="Times New Roman" w:eastAsia="宋体" w:cs="Times New Roman"/>
                <w:b w:val="0"/>
                <w:i w:val="0"/>
                <w:color w:val="000000" w:themeColor="text1"/>
                <w:sz w:val="21"/>
                <w14:textFill>
                  <w14:solidFill>
                    <w14:schemeClr w14:val="tx1"/>
                  </w14:solidFill>
                </w14:textFill>
              </w:rPr>
              <w:t>位移关系非线性；存在近似死点和铰接间隙；换向时易晃动</w:t>
            </w:r>
          </w:p>
        </w:tc>
        <w:tc>
          <w:tcPr>
            <w:tcW w:w="1621" w:type="dxa"/>
            <w:tcBorders>
              <w:top w:val="nil" w:color="000000" w:sz="0" w:space="0"/>
              <w:left w:val="nil" w:color="000000" w:sz="0" w:space="0"/>
              <w:bottom w:val="nil" w:color="000000" w:sz="0" w:space="0"/>
              <w:right w:val="nil" w:color="000000" w:sz="0" w:space="0"/>
              <w:insideH w:val="nil" w:sz="0" w:space="0" w:color="000000"/>
              <w:insideV w:val="nil" w:sz="0" w:space="0" w:color="000000"/>
            </w:tcBorders>
            <w:tcMar>
              <w:top w:w="100" w:type="dxa"/>
              <w:left w:w="120" w:type="dxa"/>
              <w:bottom w:w="100" w:type="dxa"/>
              <w:right w:w="120" w:type="dxa"/>
            </w:tcMar>
            <w:vAlign w:val="center"/>
            <w:shd w:val="clear" w:color="auto" w:fill="FFFFFF"/>
          </w:tcPr>
          <w:p w14:paraId="563F9CC1">
            <w:pPr>
              <w:spacing w:after="0" w:line="360" w:lineRule="exact" w:before="0"/>
              <w:ind w:firstLine="0"/>
              <w:jc w:val="center"/>
              <w:rPr>
                <w:color w:val="000000" w:themeColor="text1"/>
                <w14:textFill>
                  <w14:solidFill>
                    <w14:schemeClr w14:val="tx1"/>
                  </w14:solidFill>
                </w14:textFill>
              </w:rPr>
            </w:pPr>
            <w:r>
              <w:rPr>
                <w:rFonts w:ascii="Times New Roman" w:hAnsi="Times New Roman" w:eastAsia="宋体" w:cs="Times New Roman"/>
                <w:b w:val="0"/>
                <w:i w:val="0"/>
                <w:color w:val="000000" w:themeColor="text1"/>
                <w:sz w:val="21"/>
                <w14:textFill>
                  <w14:solidFill>
                    <w14:schemeClr w14:val="tx1"/>
                  </w14:solidFill>
                </w14:textFill>
              </w:rPr>
              <w:t>未采用</w:t>
            </w:r>
          </w:p>
        </w:tc>
      </w:tr>
      <w:tr w14:paraId="07C636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1450" w:type="dxa"/>
            <w:tcBorders>
              <w:top w:val="nil" w:color="000000" w:sz="0" w:space="0"/>
              <w:left w:val="nil" w:color="000000" w:sz="0" w:space="0"/>
              <w:bottom w:val="nil" w:color="000000" w:sz="0" w:space="0"/>
              <w:right w:val="nil" w:color="000000" w:sz="0" w:space="0"/>
              <w:insideH w:val="nil" w:sz="0" w:space="0" w:color="000000"/>
              <w:insideV w:val="nil" w:sz="0" w:space="0" w:color="000000"/>
            </w:tcBorders>
            <w:tcMar>
              <w:top w:w="100" w:type="dxa"/>
              <w:left w:w="120" w:type="dxa"/>
              <w:bottom w:w="100" w:type="dxa"/>
              <w:right w:w="120" w:type="dxa"/>
            </w:tcMar>
            <w:vAlign w:val="center"/>
            <w:shd w:val="clear" w:color="auto" w:fill="FFFFFF"/>
          </w:tcPr>
          <w:p w14:paraId="00F051C5">
            <w:pPr>
              <w:spacing w:after="0" w:line="360" w:lineRule="exact" w:before="0"/>
              <w:ind w:firstLine="0"/>
              <w:jc w:val="center"/>
              <w:rPr>
                <w:color w:val="000000" w:themeColor="text1"/>
                <w14:textFill>
                  <w14:solidFill>
                    <w14:schemeClr w14:val="tx1"/>
                  </w14:solidFill>
                </w14:textFill>
              </w:rPr>
            </w:pPr>
            <w:r>
              <w:rPr>
                <w:rFonts w:ascii="Times New Roman" w:hAnsi="Times New Roman" w:eastAsia="宋体" w:cs="Times New Roman"/>
                <w:b w:val="0"/>
                <w:i w:val="0"/>
                <w:color w:val="000000" w:themeColor="text1"/>
                <w:sz w:val="21"/>
                <w14:textFill>
                  <w14:solidFill>
                    <w14:schemeClr w14:val="tx1"/>
                  </w14:solidFill>
                </w14:textFill>
              </w:rPr>
              <w:t>齿轮齿条</w:t>
            </w:r>
          </w:p>
        </w:tc>
        <w:tc>
          <w:tcPr>
            <w:tcW w:w="1800" w:type="dxa"/>
            <w:tcBorders>
              <w:top w:val="nil" w:color="000000" w:sz="0" w:space="0"/>
              <w:left w:val="nil" w:color="000000" w:sz="0" w:space="0"/>
              <w:bottom w:val="nil" w:color="000000" w:sz="0" w:space="0"/>
              <w:right w:val="nil" w:color="000000" w:sz="0" w:space="0"/>
              <w:insideH w:val="nil" w:sz="0" w:space="0" w:color="000000"/>
              <w:insideV w:val="nil" w:sz="0" w:space="0" w:color="000000"/>
            </w:tcBorders>
            <w:tcMar>
              <w:top w:w="100" w:type="dxa"/>
              <w:left w:w="120" w:type="dxa"/>
              <w:bottom w:w="100" w:type="dxa"/>
              <w:right w:w="120" w:type="dxa"/>
            </w:tcMar>
            <w:vAlign w:val="center"/>
            <w:shd w:val="clear" w:color="auto" w:fill="FFFFFF"/>
          </w:tcPr>
          <w:p w14:paraId="1156F413">
            <w:pPr>
              <w:spacing w:after="0" w:line="360" w:lineRule="exact" w:before="0"/>
              <w:ind w:firstLine="0"/>
              <w:jc w:val="center"/>
              <w:rPr>
                <w:color w:val="000000" w:themeColor="text1"/>
                <w14:textFill>
                  <w14:solidFill>
                    <w14:schemeClr w14:val="tx1"/>
                  </w14:solidFill>
                </w14:textFill>
              </w:rPr>
            </w:pPr>
            <w:r>
              <w:rPr>
                <w:rFonts w:ascii="Times New Roman" w:hAnsi="Times New Roman" w:eastAsia="宋体" w:cs="Times New Roman"/>
                <w:b w:val="0"/>
                <w:i w:val="0"/>
                <w:color w:val="000000" w:themeColor="text1"/>
                <w:sz w:val="21"/>
                <w14:textFill>
                  <w14:solidFill>
                    <w14:schemeClr w14:val="tx1"/>
                  </w14:solidFill>
                </w14:textFill>
              </w:rPr>
              <w:t>升降连续，重复性较好</w:t>
            </w:r>
          </w:p>
        </w:tc>
        <w:tc>
          <w:tcPr>
            <w:tcW w:w="4200" w:type="dxa"/>
            <w:tcBorders>
              <w:top w:val="nil" w:color="000000" w:sz="0" w:space="0"/>
              <w:left w:val="nil" w:color="000000" w:sz="0" w:space="0"/>
              <w:bottom w:val="nil" w:color="000000" w:sz="0" w:space="0"/>
              <w:right w:val="nil" w:color="000000" w:sz="0" w:space="0"/>
              <w:insideH w:val="nil" w:sz="0" w:space="0" w:color="000000"/>
              <w:insideV w:val="nil" w:sz="0" w:space="0" w:color="000000"/>
            </w:tcBorders>
            <w:tcMar>
              <w:top w:w="100" w:type="dxa"/>
              <w:left w:w="120" w:type="dxa"/>
              <w:bottom w:w="100" w:type="dxa"/>
              <w:right w:w="120" w:type="dxa"/>
            </w:tcMar>
            <w:vAlign w:val="center"/>
            <w:shd w:val="clear" w:color="auto" w:fill="FFFFFF"/>
          </w:tcPr>
          <w:p w14:paraId="5064B0F1">
            <w:pPr>
              <w:spacing w:after="0" w:line="360" w:lineRule="exact" w:before="0"/>
              <w:ind w:firstLine="0"/>
              <w:jc w:val="center"/>
              <w:rPr>
                <w:color w:val="000000" w:themeColor="text1"/>
                <w14:textFill>
                  <w14:solidFill>
                    <w14:schemeClr w14:val="tx1"/>
                  </w14:solidFill>
                </w14:textFill>
              </w:rPr>
            </w:pPr>
            <w:r>
              <w:rPr>
                <w:rFonts w:ascii="Times New Roman" w:hAnsi="Times New Roman" w:eastAsia="宋体" w:cs="Times New Roman"/>
                <w:b w:val="0"/>
                <w:i w:val="0"/>
                <w:color w:val="000000" w:themeColor="text1"/>
                <w:sz w:val="21"/>
                <w14:textFill>
                  <w14:solidFill>
                    <w14:schemeClr w14:val="tx1"/>
                  </w14:solidFill>
                </w14:textFill>
              </w:rPr>
              <w:t>步数—位移关系直观；易标定和限位；配合导向后稳定性较好</w:t>
            </w:r>
          </w:p>
        </w:tc>
        <w:tc>
          <w:tcPr>
            <w:tcW w:w="1621" w:type="dxa"/>
            <w:tcBorders>
              <w:top w:val="nil" w:color="000000" w:sz="0" w:space="0"/>
              <w:left w:val="nil" w:color="000000" w:sz="0" w:space="0"/>
              <w:bottom w:val="nil" w:color="000000" w:sz="0" w:space="0"/>
              <w:right w:val="nil" w:color="000000" w:sz="0" w:space="0"/>
              <w:insideH w:val="nil" w:sz="0" w:space="0" w:color="000000"/>
              <w:insideV w:val="nil" w:sz="0" w:space="0" w:color="000000"/>
            </w:tcBorders>
            <w:tcMar>
              <w:top w:w="100" w:type="dxa"/>
              <w:left w:w="120" w:type="dxa"/>
              <w:bottom w:w="100" w:type="dxa"/>
              <w:right w:w="120" w:type="dxa"/>
            </w:tcMar>
            <w:vAlign w:val="center"/>
            <w:shd w:val="clear" w:color="auto" w:fill="FFFFFF"/>
          </w:tcPr>
          <w:p w14:paraId="46E2DC59">
            <w:pPr>
              <w:spacing w:after="0" w:line="360" w:lineRule="exact" w:before="0"/>
              <w:ind w:firstLine="0"/>
              <w:jc w:val="center"/>
              <w:rPr>
                <w:color w:val="000000" w:themeColor="text1"/>
                <w14:textFill>
                  <w14:solidFill>
                    <w14:schemeClr w14:val="tx1"/>
                  </w14:solidFill>
                </w14:textFill>
              </w:rPr>
            </w:pPr>
            <w:r>
              <w:rPr>
                <w:rFonts w:ascii="Times New Roman" w:hAnsi="Times New Roman" w:eastAsia="宋体" w:cs="Times New Roman"/>
                <w:b w:val="0"/>
                <w:i w:val="0"/>
                <w:color w:val="000000" w:themeColor="text1"/>
                <w:sz w:val="21"/>
                <w14:textFill>
                  <w14:solidFill>
                    <w14:schemeClr w14:val="tx1"/>
                  </w14:solidFill>
                </w14:textFill>
              </w:rPr>
              <w:t>采用</w:t>
            </w:r>
          </w:p>
        </w:tc>
      </w:tr>
    </w:tbl>
    <w:p w14:paraId="25C0A701">
      <w:pPr>
        <w:keepNext/>
        <w:widowControl/>
        <w:spacing w:before="80" w:after="40" w:line="240" w:lineRule="auto"/>
        <w:ind w:firstLine="0"/>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303520" cy="2239010"/>
            <wp:effectExtent l="0" t="0" r="0" b="1270"/>
            <wp:docPr id="2" name="Picture 2" descr="两种摆杆升降机构建模对比" title="两种摆杆升降机构建模对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图 2 两种摆杆升降机构建模对比" title="图 2 两种摆杆升降机构建模对比"/>
                    <pic:cNvPicPr>
                      <a:picLocks noChangeAspect="1"/>
                    </pic:cNvPicPr>
                  </pic:nvPicPr>
                  <pic:blipFill>
                    <a:blip r:embed="rId8"/>
                    <a:stretch>
                      <a:fillRect/>
                    </a:stretch>
                  </pic:blipFill>
                  <pic:spPr>
                    <a:xfrm>
                      <a:off x="0" y="0"/>
                      <a:ext cx="5303520" cy="2239264"/>
                    </a:xfrm>
                    <a:prstGeom prst="rect">
                      <a:avLst/>
                    </a:prstGeom>
                  </pic:spPr>
                </pic:pic>
              </a:graphicData>
            </a:graphic>
          </wp:inline>
        </w:drawing>
      </w:r>
    </w:p>
    <w:p w14:paraId="07F60D94">
      <w:pPr>
        <w:pStyle w:val="15"/>
        <w:widowControl/>
        <w:spacing w:before="0" w:after="100" w:line="320" w:lineRule="exact"/>
        <w:ind w:firstLine="0"/>
        <w:jc w:val="center"/>
        <w:rPr>
          <w:color w:val="000000" w:themeColor="text1"/>
          <w14:textFill>
            <w14:solidFill>
              <w14:schemeClr w14:val="tx1"/>
            </w14:solidFill>
          </w14:textFill>
        </w:rPr>
      </w:pPr>
      <w:r>
        <w:t>图2  两种摆杆升降机构建模对比</w:t>
      </w:r>
    </w:p>
    <w:p w14:paraId="0A2EA5D0">
      <w:pPr>
        <w:pStyle w:val="4"/>
        <w:keepNext/>
        <w:widowControl/>
        <w:spacing w:before="100" w:after="20" w:line="440" w:lineRule="exact"/>
        <w:ind w:firstLine="0"/>
        <w:jc w:val="left"/>
        <w:rPr>
          <w:color w:val="000000" w:themeColor="text1"/>
          <w14:textFill>
            <w14:solidFill>
              <w14:schemeClr w14:val="tx1"/>
            </w14:solidFill>
          </w14:textFill>
        </w:rPr>
      </w:pPr>
      <w:r>
        <w:rPr>
          <w:rFonts w:ascii="黑体" w:hAnsi="黑体" w:eastAsia="黑体"/>
          <w:b/>
          <w:i w:val="0"/>
          <w:color w:val="000000" w:themeColor="text1"/>
          <w:sz w:val="30"/>
          <w14:textFill>
            <w14:solidFill>
              <w14:schemeClr w14:val="tx1"/>
            </w14:solidFill>
          </w14:textFill>
        </w:rPr>
        <w:t>2.4 控制算法方案论证</w:t>
      </w:r>
    </w:p>
    <w:p w14:paraId="2093C024">
      <w:pPr>
        <w:widowControl/>
        <w:spacing w:before="0" w:after="0" w:line="440" w:lineRule="exact"/>
        <w:ind w:firstLine="482"/>
        <w:jc w:val="both"/>
        <w:rPr>
          <w:color w:val="000000" w:themeColor="text1"/>
          <w14:textFill>
            <w14:solidFill>
              <w14:schemeClr w14:val="tx1"/>
            </w14:solidFill>
          </w14:textFill>
        </w:rPr>
      </w:pPr>
      <w:r>
        <w:rPr>
          <w:rFonts w:ascii="Times New Roman" w:hAnsi="Times New Roman" w:eastAsia="宋体" w:cs="Times New Roman"/>
          <w:b w:val="0"/>
          <w:sz w:val="24"/>
        </w:rPr>
        <w:t>滚球控制比较了单位置环PID和串级PID两种方案。单环方案结构简单，但钢球—摆杆对象近似具有双积分特性，位置微分项又容易放大视觉坐标抖动；控制增益偏小时制动恢复慢，偏大时目标点附近易往复振荡。最终采用位置P—速度PI串级结构：外环决定钢球应以多快的速度靠近目标，内环利用实测速度形成阻尼并输出倾角，积分限幅用于补偿坡度零偏和摩擦不对称。底盘侧采用梯形加减速代替速度阶跃，并把规划加速度作为前馈量叠加到倾角指令。该复合方案把“限制扰动、提前补偿、反馈纠偏”分开处理，更适合同时完成静态定点和行驶保持任务。</w:t>
      </w:r>
    </w:p>
    <w:p>
      <w:pPr>
        <w:pStyle w:val="3"/>
        <w:widowControl/>
      </w:pPr>
      <w:r>
        <w:t>三、理论分析与控制策略</w:t>
      </w:r>
    </w:p>
    <w:p w14:paraId="7C1DFE2B">
      <w:pPr>
        <w:pStyle w:val="4"/>
        <w:keepNext/>
        <w:widowControl/>
        <w:spacing w:before="100" w:after="20" w:line="440" w:lineRule="exact"/>
        <w:ind w:firstLine="0"/>
        <w:jc w:val="left"/>
        <w:rPr>
          <w:color w:val="000000" w:themeColor="text1"/>
          <w14:textFill>
            <w14:solidFill>
              <w14:schemeClr w14:val="tx1"/>
            </w14:solidFill>
          </w14:textFill>
        </w:rPr>
      </w:pPr>
      <w:r>
        <w:rPr>
          <w:rFonts w:ascii="黑体" w:hAnsi="黑体" w:eastAsia="黑体"/>
          <w:b/>
          <w:i w:val="0"/>
          <w:color w:val="000000" w:themeColor="text1"/>
          <w:sz w:val="30"/>
          <w14:textFill>
            <w14:solidFill>
              <w14:schemeClr w14:val="tx1"/>
            </w14:solidFill>
          </w14:textFill>
        </w:rPr>
        <w:t>3.1 视觉标定与坐标换算</w:t>
      </w:r>
    </w:p>
    <w:p w14:paraId="110A8C12">
      <w:pPr>
        <w:widowControl/>
        <w:spacing w:before="0" w:after="0" w:line="440" w:lineRule="exact"/>
        <w:ind w:firstLine="482"/>
        <w:jc w:val="both"/>
        <w:rPr>
          <w:color w:val="000000" w:themeColor="text1"/>
          <w14:textFill>
            <w14:solidFill>
              <w14:schemeClr w14:val="tx1"/>
            </w14:solidFill>
          </w14:textFill>
        </w:rPr>
      </w:pPr>
      <w:r>
        <w:rPr>
          <w:rFonts w:ascii="Times New Roman" w:hAnsi="Times New Roman" w:eastAsia="宋体" w:cs="Times New Roman"/>
          <w:b w:val="0"/>
          <w:sz w:val="24"/>
        </w:rPr>
        <w:t>K230对摄像头画面进行预处理，提取钢球候选区域并计算质心。摆杆中心O和两端刻度用于建立一维标定，K230把全长约250 mm的有效行程归一化为−50.00～+50.00，并以放大100倍的定点数q发送。主控以中心为原点，将坐标换算为毫米位置：</w:t>
      </w:r>
    </w:p>
    <w:p w14:paraId="74C1221C">
      <w:pPr>
        <w:pStyle w:val="Equation"/>
        <w:widowControl/>
        <w:spacing w:line="240" w:lineRule="auto"/>
        <w:ind w:firstLine="0"/>
        <w:jc w:val="left"/>
        <w:rPr>
          <w:color w:val="000000" w:themeColor="text1"/>
          <w14:textFill>
            <w14:solidFill>
              <w14:schemeClr w14:val="tx1"/>
            </w14:solidFill>
          </w14:textFill>
        </w:rPr>
        <w:tabs>
          <w:tab w:val="center" w:pos="4535"/>
          <w:tab w:val="right" w:pos="9071"/>
        </w:tabs>
      </w:pPr>
      <w:r>
        <w:tab/>
      </w:r>
      <m:oMath>
        <m:r>
          <m:rPr>
            <m:sty m:val="p"/>
          </m:rPr>
          <w:rPr>
            <w:rFonts w:ascii="Cambria Math" w:hAnsi="Cambria Math"/>
            <w:sz w:val="24"/>
          </w:rPr>
          <m:t>x=</m:t>
        </m:r>
        <m:f>
          <m:fPr/>
          <m:num>
            <m:r>
              <m:rPr>
                <m:sty m:val="p"/>
              </m:rPr>
              <w:rPr>
                <w:rFonts w:ascii="Cambria Math" w:hAnsi="Cambria Math"/>
                <w:sz w:val="24"/>
              </w:rPr>
              <m:t>q</m:t>
            </m:r>
          </m:num>
          <m:den>
            <m:r>
              <m:rPr>
                <m:sty m:val="p"/>
              </m:rPr>
              <w:rPr>
                <w:rFonts w:ascii="Cambria Math" w:hAnsi="Cambria Math"/>
                <w:sz w:val="24"/>
              </w:rPr>
              <m:t>5000</m:t>
            </m:r>
          </m:den>
        </m:f>
        <m:r>
          <m:rPr>
            <m:sty m:val="p"/>
          </m:rPr>
          <w:rPr>
            <w:rFonts w:ascii="Cambria Math" w:hAnsi="Cambria Math"/>
            <w:sz w:val="24"/>
          </w:rPr>
          <m:t>·</m:t>
        </m:r>
        <m:sSub>
          <m:sSubPr/>
          <m:e>
            <m:r>
              <m:rPr>
                <m:sty m:val="p"/>
              </m:rPr>
              <w:rPr>
                <w:rFonts w:ascii="Cambria Math" w:hAnsi="Cambria Math"/>
                <w:sz w:val="24"/>
              </w:rPr>
              <m:t>L</m:t>
            </m:r>
          </m:e>
          <m:sub>
            <m:r>
              <m:rPr>
                <m:sty m:val="p"/>
              </m:rPr>
              <w:rPr>
                <w:rFonts w:ascii="Cambria Math" w:hAnsi="Cambria Math"/>
                <w:sz w:val="24"/>
              </w:rPr>
              <m:t>h</m:t>
            </m:r>
          </m:sub>
        </m:sSub>
      </m:oMath>
      <w:r>
        <w:tab/>
        <w:t>（1）</w:t>
      </w:r>
    </w:p>
    <w:p w14:paraId="6854755B">
      <w:pPr>
        <w:widowControl/>
        <w:spacing w:before="0" w:after="0" w:line="440" w:lineRule="exact"/>
        <w:ind w:firstLine="482"/>
        <w:jc w:val="both"/>
        <w:rPr>
          <w:color w:val="000000" w:themeColor="text1"/>
          <w14:textFill>
            <w14:solidFill>
              <w14:schemeClr w14:val="tx1"/>
            </w14:solidFill>
          </w14:textFill>
        </w:rPr>
      </w:pPr>
      <w:r>
        <w:rPr>
          <w:rFonts w:ascii="Times New Roman" w:hAnsi="Times New Roman" w:eastAsia="宋体" w:cs="Times New Roman"/>
          <w:b w:val="0"/>
          <w:sz w:val="24"/>
        </w:rPr>
        <w:t>式中Lh为摆杆半长，默认125 mm。主控只在视觉帧序号变化时更新速度：若K230同时给出有效速度则直接换算，否则按相邻新帧的位置差和真实帧间隔计算速度，并进行一阶低通滤波。这样可避免在100 Hz控制周期内对约25帧/s的重复图像反复差分，减少速度尖峰。连续丢失视觉约100 ms时，控制器退出运行并令摆杆回中，防止用陈旧位置持续施加倾角。</w:t>
      </w:r>
    </w:p>
    <w:p w14:paraId="63A340FA">
      <w:pPr>
        <w:pStyle w:val="4"/>
        <w:keepNext/>
        <w:widowControl/>
        <w:spacing w:before="100" w:after="20" w:line="440" w:lineRule="exact"/>
        <w:ind w:firstLine="0"/>
        <w:jc w:val="left"/>
        <w:rPr>
          <w:color w:val="000000" w:themeColor="text1"/>
          <w14:textFill>
            <w14:solidFill>
              <w14:schemeClr w14:val="tx1"/>
            </w14:solidFill>
          </w14:textFill>
        </w:rPr>
      </w:pPr>
      <w:r>
        <w:rPr>
          <w:rFonts w:ascii="黑体" w:hAnsi="黑体" w:eastAsia="黑体"/>
          <w:b/>
          <w:i w:val="0"/>
          <w:color w:val="000000" w:themeColor="text1"/>
          <w:sz w:val="30"/>
          <w14:textFill>
            <w14:solidFill>
              <w14:schemeClr w14:val="tx1"/>
            </w14:solidFill>
          </w14:textFill>
        </w:rPr>
        <w:t>3.2 钢球动力学与位置闭环</w:t>
      </w:r>
    </w:p>
    <w:p w14:paraId="13C3432C">
      <w:pPr>
        <w:widowControl/>
        <w:spacing w:before="0" w:after="0" w:line="440" w:lineRule="exact"/>
        <w:ind w:firstLine="482"/>
        <w:jc w:val="both"/>
        <w:rPr>
          <w:color w:val="000000" w:themeColor="text1"/>
          <w14:textFill>
            <w14:solidFill>
              <w14:schemeClr w14:val="tx1"/>
            </w14:solidFill>
          </w14:textFill>
        </w:rPr>
      </w:pPr>
      <w:r>
        <w:rPr>
          <w:rFonts w:ascii="Times New Roman" w:hAnsi="Times New Roman" w:eastAsia="宋体" w:cs="Times New Roman"/>
          <w:b w:val="0"/>
          <w:sz w:val="24"/>
        </w:rPr>
        <w:t>将摆杆倾角记为θ，钢球沿凹槽方向的位置和速度分别记为x、v，车体沿摆杆方向的加速度记为ac。在小角度、纯滚动近似下，随车坐标系中的钢球动力学可写为：</w:t>
      </w:r>
    </w:p>
    <w:p w14:paraId="292BECF6">
      <w:pPr>
        <w:pStyle w:val="Equation"/>
        <w:widowControl/>
        <w:spacing w:line="240" w:lineRule="auto"/>
        <w:ind w:firstLine="0"/>
        <w:jc w:val="left"/>
        <w:rPr>
          <w:color w:val="000000" w:themeColor="text1"/>
          <w14:textFill>
            <w14:solidFill>
              <w14:schemeClr w14:val="tx1"/>
            </w14:solidFill>
          </w14:textFill>
        </w:rPr>
        <w:tabs>
          <w:tab w:val="center" w:pos="4535"/>
          <w:tab w:val="right" w:pos="9071"/>
        </w:tabs>
      </w:pPr>
      <w:r>
        <w:tab/>
      </w:r>
      <m:oMath>
        <m:acc>
          <m:accPr>
            <m:chr m:val="̈"/>
          </m:accPr>
          <m:e>
            <m:r>
              <m:rPr>
                <m:sty m:val="p"/>
              </m:rPr>
              <w:rPr>
                <w:rFonts w:ascii="Cambria Math" w:hAnsi="Cambria Math"/>
                <w:sz w:val="24"/>
              </w:rPr>
              <m:t>x</m:t>
            </m:r>
          </m:e>
        </m:acc>
        <m:r>
          <m:rPr>
            <m:sty m:val="p"/>
          </m:rPr>
          <w:rPr>
            <w:rFonts w:ascii="Cambria Math" w:hAnsi="Cambria Math"/>
            <w:sz w:val="24"/>
          </w:rPr>
          <m:t>≈</m:t>
        </m:r>
        <m:f>
          <m:fPr/>
          <m:num>
            <m:r>
              <m:rPr>
                <m:sty m:val="p"/>
              </m:rPr>
              <w:rPr>
                <w:rFonts w:ascii="Cambria Math" w:hAnsi="Cambria Math"/>
                <w:sz w:val="24"/>
              </w:rPr>
              <m:t>5</m:t>
            </m:r>
          </m:num>
          <m:den>
            <m:r>
              <m:rPr>
                <m:sty m:val="p"/>
              </m:rPr>
              <w:rPr>
                <w:rFonts w:ascii="Cambria Math" w:hAnsi="Cambria Math"/>
                <w:sz w:val="24"/>
              </w:rPr>
              <m:t>7</m:t>
            </m:r>
          </m:den>
        </m:f>
        <m:r>
          <m:rPr>
            <m:sty m:val="p"/>
          </m:rPr>
          <w:rPr>
            <w:rFonts w:ascii="Cambria Math" w:hAnsi="Cambria Math"/>
            <w:sz w:val="24"/>
          </w:rPr>
          <m:t>(gθ−</m:t>
        </m:r>
        <m:sSub>
          <m:sSubPr/>
          <m:e>
            <m:r>
              <m:rPr>
                <m:sty m:val="p"/>
              </m:rPr>
              <w:rPr>
                <w:rFonts w:ascii="Cambria Math" w:hAnsi="Cambria Math"/>
                <w:sz w:val="24"/>
              </w:rPr>
              <m:t>a</m:t>
            </m:r>
          </m:e>
          <m:sub>
            <m:r>
              <m:rPr>
                <m:sty m:val="p"/>
              </m:rPr>
              <w:rPr>
                <w:rFonts w:ascii="Cambria Math" w:hAnsi="Cambria Math"/>
                <w:sz w:val="24"/>
              </w:rPr>
              <m:t>c</m:t>
            </m:r>
          </m:sub>
        </m:sSub>
        <m:r>
          <m:rPr>
            <m:sty m:val="p"/>
          </m:rPr>
          <w:rPr>
            <w:rFonts w:ascii="Cambria Math" w:hAnsi="Cambria Math"/>
            <w:sz w:val="24"/>
          </w:rPr>
          <m:t>)</m:t>
        </m:r>
      </m:oMath>
      <w:r>
        <w:tab/>
        <w:t>（2）</w:t>
      </w:r>
    </w:p>
    <w:p w14:paraId="61D5CD14">
      <w:pPr>
        <w:widowControl/>
        <w:spacing w:before="0" w:after="0" w:line="440" w:lineRule="exact"/>
        <w:ind w:firstLine="482"/>
        <w:jc w:val="both"/>
        <w:rPr>
          <w:color w:val="000000" w:themeColor="text1"/>
          <w14:textFill>
            <w14:solidFill>
              <w14:schemeClr w14:val="tx1"/>
            </w14:solidFill>
          </w14:textFill>
        </w:rPr>
      </w:pPr>
      <w:r>
        <w:rPr>
          <w:rFonts w:ascii="Times New Roman" w:hAnsi="Times New Roman" w:eastAsia="宋体" w:cs="Times New Roman"/>
          <w:b w:val="0"/>
          <w:sz w:val="24"/>
        </w:rPr>
        <w:t>由上式可知，位置对倾角近似为双积分对象，仅用位置误差直接控制倾角时阻尼不足。本系统采用串级PID（位置P—速度PI）。位置外环计算位置误差ex=xr−x，并将其转换为目标球速vr：</w:t>
      </w:r>
    </w:p>
    <w:p w14:paraId="255B0993">
      <w:pPr>
        <w:pStyle w:val="Equation"/>
        <w:widowControl/>
        <w:spacing w:line="240" w:lineRule="auto"/>
        <w:ind w:firstLine="0"/>
        <w:jc w:val="left"/>
        <w:rPr>
          <w:color w:val="000000" w:themeColor="text1"/>
          <w14:textFill>
            <w14:solidFill>
              <w14:schemeClr w14:val="tx1"/>
            </w14:solidFill>
          </w14:textFill>
        </w:rPr>
        <w:tabs>
          <w:tab w:val="center" w:pos="4535"/>
          <w:tab w:val="right" w:pos="9071"/>
        </w:tabs>
      </w:pPr>
      <w:r>
        <w:tab/>
      </w:r>
      <m:oMath>
        <m:sSub>
          <m:sSubPr/>
          <m:e>
            <m:r>
              <m:rPr>
                <m:sty m:val="p"/>
              </m:rPr>
              <w:rPr>
                <w:rFonts w:ascii="Cambria Math" w:hAnsi="Cambria Math"/>
                <w:sz w:val="24"/>
              </w:rPr>
              <m:t>e</m:t>
            </m:r>
          </m:e>
          <m:sub>
            <m:r>
              <m:rPr>
                <m:sty m:val="p"/>
              </m:rPr>
              <w:rPr>
                <w:rFonts w:ascii="Cambria Math" w:hAnsi="Cambria Math"/>
                <w:sz w:val="24"/>
              </w:rPr>
              <m:t>x</m:t>
            </m:r>
          </m:sub>
        </m:sSub>
        <m:r>
          <m:rPr>
            <m:sty m:val="p"/>
          </m:rPr>
          <w:rPr>
            <w:rFonts w:ascii="Cambria Math" w:hAnsi="Cambria Math"/>
            <w:sz w:val="24"/>
          </w:rPr>
          <m:t>=</m:t>
        </m:r>
        <m:sSub>
          <m:sSubPr/>
          <m:e>
            <m:r>
              <m:rPr>
                <m:sty m:val="p"/>
              </m:rPr>
              <w:rPr>
                <w:rFonts w:ascii="Cambria Math" w:hAnsi="Cambria Math"/>
                <w:sz w:val="24"/>
              </w:rPr>
              <m:t>x</m:t>
            </m:r>
          </m:e>
          <m:sub>
            <m:r>
              <m:rPr>
                <m:sty m:val="p"/>
              </m:rPr>
              <w:rPr>
                <w:rFonts w:ascii="Cambria Math" w:hAnsi="Cambria Math"/>
                <w:sz w:val="24"/>
              </w:rPr>
              <m:t>r</m:t>
            </m:r>
          </m:sub>
        </m:sSub>
        <m:r>
          <m:rPr>
            <m:sty m:val="p"/>
          </m:rPr>
          <w:rPr>
            <w:rFonts w:ascii="Cambria Math" w:hAnsi="Cambria Math"/>
            <w:sz w:val="24"/>
          </w:rPr>
          <m:t>−x;  </m:t>
        </m:r>
        <m:sSub>
          <m:sSubPr/>
          <m:e>
            <m:r>
              <m:rPr>
                <m:sty m:val="p"/>
              </m:rPr>
              <w:rPr>
                <w:rFonts w:ascii="Cambria Math" w:hAnsi="Cambria Math"/>
                <w:sz w:val="24"/>
              </w:rPr>
              <m:t>v</m:t>
            </m:r>
          </m:e>
          <m:sub>
            <m:r>
              <m:rPr>
                <m:sty m:val="p"/>
              </m:rPr>
              <w:rPr>
                <w:rFonts w:ascii="Cambria Math" w:hAnsi="Cambria Math"/>
                <w:sz w:val="24"/>
              </w:rPr>
              <m:t>r</m:t>
            </m:r>
          </m:sub>
        </m:sSub>
        <m:r>
          <m:rPr>
            <m:sty m:val="p"/>
          </m:rPr>
          <w:rPr>
            <w:rFonts w:ascii="Cambria Math" w:hAnsi="Cambria Math"/>
            <w:sz w:val="24"/>
          </w:rPr>
          <m:t>=sat(</m:t>
        </m:r>
        <m:sSub>
          <m:sSubPr/>
          <m:e>
            <m:r>
              <m:rPr>
                <m:sty m:val="p"/>
              </m:rPr>
              <w:rPr>
                <w:rFonts w:ascii="Cambria Math" w:hAnsi="Cambria Math"/>
                <w:sz w:val="24"/>
              </w:rPr>
              <m:t>K</m:t>
            </m:r>
          </m:e>
          <m:sub>
            <m:r>
              <m:rPr>
                <m:sty m:val="p"/>
              </m:rPr>
              <w:rPr>
                <w:rFonts w:ascii="Cambria Math" w:hAnsi="Cambria Math"/>
                <w:sz w:val="24"/>
              </w:rPr>
              <m:t>x</m:t>
            </m:r>
          </m:sub>
        </m:sSub>
        <m:sSub>
          <m:sSubPr/>
          <m:e>
            <m:r>
              <m:rPr>
                <m:sty m:val="p"/>
              </m:rPr>
              <w:rPr>
                <w:rFonts w:ascii="Cambria Math" w:hAnsi="Cambria Math"/>
                <w:sz w:val="24"/>
              </w:rPr>
              <m:t>e</m:t>
            </m:r>
          </m:e>
          <m:sub>
            <m:r>
              <m:rPr>
                <m:sty m:val="p"/>
              </m:rPr>
              <w:rPr>
                <w:rFonts w:ascii="Cambria Math" w:hAnsi="Cambria Math"/>
                <w:sz w:val="24"/>
              </w:rPr>
              <m:t>x</m:t>
            </m:r>
          </m:sub>
        </m:sSub>
        <m:r>
          <m:rPr>
            <m:sty m:val="p"/>
          </m:rPr>
          <w:rPr>
            <w:rFonts w:ascii="Cambria Math" w:hAnsi="Cambria Math"/>
            <w:sz w:val="24"/>
          </w:rPr>
          <m:t>,±</m:t>
        </m:r>
        <m:sSub>
          <m:sSubPr/>
          <m:e>
            <m:r>
              <m:rPr>
                <m:sty m:val="p"/>
              </m:rPr>
              <w:rPr>
                <w:rFonts w:ascii="Cambria Math" w:hAnsi="Cambria Math"/>
                <w:sz w:val="24"/>
              </w:rPr>
              <m:t>v</m:t>
            </m:r>
          </m:e>
          <m:sub>
            <m:r>
              <m:rPr>
                <m:sty m:val="p"/>
              </m:rPr>
              <w:rPr>
                <w:rFonts w:ascii="Cambria Math" w:hAnsi="Cambria Math"/>
                <w:sz w:val="24"/>
              </w:rPr>
              <m:t>max</m:t>
            </m:r>
          </m:sub>
        </m:sSub>
        <m:r>
          <m:rPr>
            <m:sty m:val="p"/>
          </m:rPr>
          <w:rPr>
            <w:rFonts w:ascii="Cambria Math" w:hAnsi="Cambria Math"/>
            <w:sz w:val="24"/>
          </w:rPr>
          <m:t>)</m:t>
        </m:r>
      </m:oMath>
      <w:r>
        <w:tab/>
        <w:t>（3）</w:t>
      </w:r>
    </w:p>
    <w:p w14:paraId="748524C2">
      <w:pPr>
        <w:widowControl/>
        <w:spacing w:before="0" w:after="0" w:line="440" w:lineRule="exact"/>
        <w:ind w:firstLine="482"/>
        <w:jc w:val="both"/>
        <w:rPr>
          <w:color w:val="000000" w:themeColor="text1"/>
          <w14:textFill>
            <w14:solidFill>
              <w14:schemeClr w14:val="tx1"/>
            </w14:solidFill>
          </w14:textFill>
        </w:rPr>
      </w:pPr>
      <w:r>
        <w:rPr>
          <w:rFonts w:ascii="Times New Roman" w:hAnsi="Times New Roman" w:eastAsia="宋体" w:cs="Times New Roman"/>
          <w:b w:val="0"/>
          <w:sz w:val="24"/>
        </w:rPr>
        <w:t>速度内环计算ev=vr−v，并输出反馈倾角θfb：</w:t>
      </w:r>
    </w:p>
    <w:p>
      <w:pPr>
        <w:pStyle w:val="Equation"/>
        <w:widowControl/>
        <w:ind w:firstLine="0"/>
        <w:jc w:val="left"/>
        <w:tabs>
          <w:tab w:val="center" w:pos="4535"/>
          <w:tab w:val="right" w:pos="9071"/>
        </w:tabs>
      </w:pPr>
      <w:r>
        <w:tab/>
      </w:r>
      <m:oMath>
        <m:sSub>
          <m:sSubPr/>
          <m:e>
            <m:r>
              <m:rPr>
                <m:sty m:val="p"/>
              </m:rPr>
              <w:rPr>
                <w:rFonts w:ascii="Cambria Math" w:hAnsi="Cambria Math"/>
                <w:sz w:val="24"/>
              </w:rPr>
              <m:t>e</m:t>
            </m:r>
          </m:e>
          <m:sub>
            <m:r>
              <m:rPr>
                <m:sty m:val="p"/>
              </m:rPr>
              <w:rPr>
                <w:rFonts w:ascii="Cambria Math" w:hAnsi="Cambria Math"/>
                <w:sz w:val="24"/>
              </w:rPr>
              <m:t>v</m:t>
            </m:r>
          </m:sub>
        </m:sSub>
        <m:r>
          <m:rPr>
            <m:sty m:val="p"/>
          </m:rPr>
          <w:rPr>
            <w:rFonts w:ascii="Cambria Math" w:hAnsi="Cambria Math"/>
            <w:sz w:val="24"/>
          </w:rPr>
          <m:t>=</m:t>
        </m:r>
        <m:sSub>
          <m:sSubPr/>
          <m:e>
            <m:r>
              <m:rPr>
                <m:sty m:val="p"/>
              </m:rPr>
              <w:rPr>
                <w:rFonts w:ascii="Cambria Math" w:hAnsi="Cambria Math"/>
                <w:sz w:val="24"/>
              </w:rPr>
              <m:t>v</m:t>
            </m:r>
          </m:e>
          <m:sub>
            <m:r>
              <m:rPr>
                <m:sty m:val="p"/>
              </m:rPr>
              <w:rPr>
                <w:rFonts w:ascii="Cambria Math" w:hAnsi="Cambria Math"/>
                <w:sz w:val="24"/>
              </w:rPr>
              <m:t>r</m:t>
            </m:r>
          </m:sub>
        </m:sSub>
        <m:r>
          <m:rPr>
            <m:sty m:val="p"/>
          </m:rPr>
          <w:rPr>
            <w:rFonts w:ascii="Cambria Math" w:hAnsi="Cambria Math"/>
            <w:sz w:val="24"/>
          </w:rPr>
          <m:t>−v;  </m:t>
        </m:r>
        <m:sSub>
          <m:sSubPr/>
          <m:e>
            <m:r>
              <m:rPr>
                <m:sty m:val="p"/>
              </m:rPr>
              <w:rPr>
                <w:rFonts w:ascii="Cambria Math" w:hAnsi="Cambria Math"/>
                <w:sz w:val="24"/>
              </w:rPr>
              <m:t>θ</m:t>
            </m:r>
          </m:e>
          <m:sub>
            <m:r>
              <m:rPr>
                <m:sty m:val="p"/>
              </m:rPr>
              <w:rPr>
                <w:rFonts w:ascii="Cambria Math" w:hAnsi="Cambria Math"/>
                <w:sz w:val="24"/>
              </w:rPr>
              <m:t>fb</m:t>
            </m:r>
          </m:sub>
        </m:sSub>
        <m:r>
          <m:rPr>
            <m:sty m:val="p"/>
          </m:rPr>
          <w:rPr>
            <w:rFonts w:ascii="Cambria Math" w:hAnsi="Cambria Math"/>
            <w:sz w:val="24"/>
          </w:rPr>
          <m:t>=</m:t>
        </m:r>
        <m:sSub>
          <m:sSubPr/>
          <m:e>
            <m:r>
              <m:rPr>
                <m:sty m:val="p"/>
              </m:rPr>
              <w:rPr>
                <w:rFonts w:ascii="Cambria Math" w:hAnsi="Cambria Math"/>
                <w:sz w:val="24"/>
              </w:rPr>
              <m:t>K</m:t>
            </m:r>
          </m:e>
          <m:sub>
            <m:r>
              <m:rPr>
                <m:sty m:val="p"/>
              </m:rPr>
              <w:rPr>
                <w:rFonts w:ascii="Cambria Math" w:hAnsi="Cambria Math"/>
                <w:sz w:val="24"/>
              </w:rPr>
              <m:t>vp</m:t>
            </m:r>
          </m:sub>
        </m:sSub>
        <m:sSub>
          <m:sSubPr/>
          <m:e>
            <m:r>
              <m:rPr>
                <m:sty m:val="p"/>
              </m:rPr>
              <w:rPr>
                <w:rFonts w:ascii="Cambria Math" w:hAnsi="Cambria Math"/>
                <w:sz w:val="24"/>
              </w:rPr>
              <m:t>e</m:t>
            </m:r>
          </m:e>
          <m:sub>
            <m:r>
              <m:rPr>
                <m:sty m:val="p"/>
              </m:rPr>
              <w:rPr>
                <w:rFonts w:ascii="Cambria Math" w:hAnsi="Cambria Math"/>
                <w:sz w:val="24"/>
              </w:rPr>
              <m:t>v</m:t>
            </m:r>
          </m:sub>
        </m:sSub>
        <m:r>
          <m:rPr>
            <m:sty m:val="p"/>
          </m:rPr>
          <w:rPr>
            <w:rFonts w:ascii="Cambria Math" w:hAnsi="Cambria Math"/>
            <w:sz w:val="24"/>
          </w:rPr>
          <m:t>+</m:t>
        </m:r>
        <m:sSub>
          <m:sSubPr/>
          <m:e>
            <m:r>
              <m:rPr>
                <m:sty m:val="p"/>
              </m:rPr>
              <w:rPr>
                <w:rFonts w:ascii="Cambria Math" w:hAnsi="Cambria Math"/>
                <w:sz w:val="24"/>
              </w:rPr>
              <m:t>K</m:t>
            </m:r>
          </m:e>
          <m:sub>
            <m:r>
              <m:rPr>
                <m:sty m:val="p"/>
              </m:rPr>
              <w:rPr>
                <w:rFonts w:ascii="Cambria Math" w:hAnsi="Cambria Math"/>
                <w:sz w:val="24"/>
              </w:rPr>
              <m:t>vi</m:t>
            </m:r>
          </m:sub>
        </m:sSub>
        <m:r>
          <m:rPr>
            <m:sty m:val="p"/>
          </m:rPr>
          <w:rPr>
            <w:rFonts w:ascii="Cambria Math" w:hAnsi="Cambria Math"/>
            <w:sz w:val="24"/>
          </w:rPr>
          <m:t>∫</m:t>
        </m:r>
        <m:sSub>
          <m:sSubPr/>
          <m:e>
            <m:r>
              <m:rPr>
                <m:sty m:val="p"/>
              </m:rPr>
              <w:rPr>
                <w:rFonts w:ascii="Cambria Math" w:hAnsi="Cambria Math"/>
                <w:sz w:val="24"/>
              </w:rPr>
              <m:t>e</m:t>
            </m:r>
          </m:e>
          <m:sub>
            <m:r>
              <m:rPr>
                <m:sty m:val="p"/>
              </m:rPr>
              <w:rPr>
                <w:rFonts w:ascii="Cambria Math" w:hAnsi="Cambria Math"/>
                <w:sz w:val="24"/>
              </w:rPr>
              <m:t>v</m:t>
            </m:r>
          </m:sub>
        </m:sSub>
        <m:r>
          <m:rPr>
            <m:sty m:val="p"/>
          </m:rPr>
          <w:rPr>
            <w:rFonts w:ascii="Cambria Math" w:hAnsi="Cambria Math"/>
            <w:sz w:val="24"/>
          </w:rPr>
          <m:t>dt</m:t>
        </m:r>
      </m:oMath>
      <w:r>
        <w:tab/>
        <w:t>（4）</w:t>
      </w:r>
    </w:p>
    <w:p>
      <w:pPr>
        <w:widowControl/>
        <w:spacing w:lineRule="exact" w:line="440" w:before="0" w:after="0"/>
        <w:ind w:firstLine="482"/>
        <w:jc w:val="both"/>
      </w:pPr>
      <w:r>
        <w:rPr>
          <w:rFonts w:ascii="Times New Roman" w:hAnsi="Times New Roman" w:eastAsia="宋体" w:cs="Times New Roman"/>
          <w:b w:val="0"/>
          <w:sz w:val="24"/>
        </w:rPr>
        <w:t>外环目标速度限幅使钢球远离目标时也不会无限加速；内环速度反馈等效增加阻尼，避免直接对噪声较大的位置量作微分。速度积分设置上下限，目标改变时清零，防止饱和后的积分累积。钢球连续进入目标±5 mm范围15个控制周期后判为稳定。该结构既能在静态任务中消除位置偏差，也为行驶扰动提供快速的速度抑制。</w:t>
      </w:r>
    </w:p>
    <w:p>
      <w:pPr>
        <w:pStyle w:val="4"/>
        <w:keepNext/>
        <w:widowControl/>
        <w:spacing w:before="100" w:after="20" w:lineRule="exact" w:line="440"/>
        <w:ind w:firstLine="0"/>
        <w:jc w:val="left"/>
      </w:pPr>
      <w:r>
        <w:rPr>
          <w:rFonts w:ascii="黑体" w:hAnsi="黑体" w:eastAsia="黑体"/>
          <w:b/>
          <w:sz w:val="30"/>
        </w:rPr>
        <w:t>3.3 梯形加减速与车体加速度前馈</w:t>
      </w:r>
    </w:p>
    <w:p>
      <w:pPr>
        <w:widowControl/>
        <w:spacing w:lineRule="exact" w:line="440" w:before="0" w:after="0"/>
        <w:ind w:firstLine="482"/>
        <w:jc w:val="both"/>
      </w:pPr>
      <w:r>
        <w:rPr>
          <w:rFonts w:ascii="Times New Roman" w:hAnsi="Times New Roman" w:eastAsia="宋体" w:cs="Times New Roman"/>
          <w:b w:val="0"/>
          <w:sz w:val="24"/>
        </w:rPr>
        <w:t>若底盘速度从0直接跳变到巡航值，车轮会在短时间内产生较大加速度，钢球受到与车体运动方向相反的惯性作用；急停时扰动方向反转，单靠视觉闭环只能在钢球已经偏移后补救。为此，巡线基准速度vp采用受限斜率的梯形规划。每个控制周期使当前规划速度按允许的最大变化量逼近指令速度：</w:t>
      </w:r>
    </w:p>
    <w:p>
      <w:pPr>
        <w:pStyle w:val="Equation"/>
        <w:widowControl/>
        <w:ind w:firstLine="0"/>
        <w:jc w:val="left"/>
        <w:tabs>
          <w:tab w:val="center" w:pos="4535"/>
          <w:tab w:val="right" w:pos="9071"/>
        </w:tabs>
      </w:pPr>
      <w:r>
        <w:tab/>
      </w:r>
      <m:oMath>
        <m:sSub>
          <m:sSubPr/>
          <m:e>
            <m:r>
              <m:rPr>
                <m:sty m:val="p"/>
              </m:rPr>
              <w:rPr>
                <w:rFonts w:ascii="Cambria Math" w:hAnsi="Cambria Math"/>
                <w:sz w:val="24"/>
              </w:rPr>
              <m:t>v</m:t>
            </m:r>
          </m:e>
          <m:sub>
            <m:r>
              <m:rPr>
                <m:sty m:val="p"/>
              </m:rPr>
              <w:rPr>
                <w:rFonts w:ascii="Cambria Math" w:hAnsi="Cambria Math"/>
                <w:sz w:val="24"/>
              </w:rPr>
              <m:t>p</m:t>
            </m:r>
          </m:sub>
        </m:sSub>
        <m:r>
          <m:rPr>
            <m:sty m:val="p"/>
          </m:rPr>
          <w:rPr>
            <w:rFonts w:ascii="Cambria Math" w:hAnsi="Cambria Math"/>
            <w:sz w:val="24"/>
          </w:rPr>
          <m:t>(k)=approach[</m:t>
        </m:r>
        <m:sSub>
          <m:sSubPr/>
          <m:e>
            <m:r>
              <m:rPr>
                <m:sty m:val="p"/>
              </m:rPr>
              <w:rPr>
                <w:rFonts w:ascii="Cambria Math" w:hAnsi="Cambria Math"/>
                <w:sz w:val="24"/>
              </w:rPr>
              <m:t>v</m:t>
            </m:r>
          </m:e>
          <m:sub>
            <m:r>
              <m:rPr>
                <m:sty m:val="p"/>
              </m:rPr>
              <w:rPr>
                <w:rFonts w:ascii="Cambria Math" w:hAnsi="Cambria Math"/>
                <w:sz w:val="24"/>
              </w:rPr>
              <m:t>p</m:t>
            </m:r>
          </m:sub>
        </m:sSub>
        <m:r>
          <m:rPr>
            <m:sty m:val="p"/>
          </m:rPr>
          <w:rPr>
            <w:rFonts w:ascii="Cambria Math" w:hAnsi="Cambria Math"/>
            <w:sz w:val="24"/>
          </w:rPr>
          <m:t>(k−1),</m:t>
        </m:r>
        <m:sSub>
          <m:sSubPr/>
          <m:e>
            <m:r>
              <m:rPr>
                <m:sty m:val="p"/>
              </m:rPr>
              <w:rPr>
                <w:rFonts w:ascii="Cambria Math" w:hAnsi="Cambria Math"/>
                <w:sz w:val="24"/>
              </w:rPr>
              <m:t>v</m:t>
            </m:r>
          </m:e>
          <m:sub>
            <m:r>
              <m:rPr>
                <m:sty m:val="p"/>
              </m:rPr>
              <w:rPr>
                <w:rFonts w:ascii="Cambria Math" w:hAnsi="Cambria Math"/>
                <w:sz w:val="24"/>
              </w:rPr>
              <m:t>cmd</m:t>
            </m:r>
          </m:sub>
        </m:sSub>
        <m:r>
          <m:rPr>
            <m:sty m:val="p"/>
          </m:rPr>
          <w:rPr>
            <w:rFonts w:ascii="Cambria Math" w:hAnsi="Cambria Math"/>
            <w:sz w:val="24"/>
          </w:rPr>
          <m:t>,</m:t>
        </m:r>
        <m:sSub>
          <m:sSubPr/>
          <m:e>
            <m:r>
              <m:rPr>
                <m:sty m:val="p"/>
              </m:rPr>
              <w:rPr>
                <w:rFonts w:ascii="Cambria Math" w:hAnsi="Cambria Math"/>
                <w:sz w:val="24"/>
              </w:rPr>
              <m:t>a</m:t>
            </m:r>
          </m:e>
          <m:sub>
            <m:r>
              <m:rPr>
                <m:sty m:val="p"/>
              </m:rPr>
              <w:rPr>
                <w:rFonts w:ascii="Cambria Math" w:hAnsi="Cambria Math"/>
                <w:sz w:val="24"/>
              </w:rPr>
              <m:t>lim</m:t>
            </m:r>
          </m:sub>
        </m:sSub>
        <m:r>
          <m:rPr>
            <m:sty m:val="p"/>
          </m:rPr>
          <w:rPr>
            <w:rFonts w:ascii="Cambria Math" w:hAnsi="Cambria Math"/>
            <w:sz w:val="24"/>
          </w:rPr>
          <m:t>Δt]</m:t>
        </m:r>
      </m:oMath>
      <w:r>
        <w:tab/>
        <w:t>（5）</w:t>
      </w:r>
    </w:p>
    <w:p>
      <w:pPr>
        <w:widowControl/>
        <w:spacing w:lineRule="exact" w:line="440" w:before="0" w:after="0"/>
        <w:ind w:firstLine="482"/>
        <w:jc w:val="both"/>
      </w:pPr>
      <w:r>
        <w:rPr>
          <w:rFonts w:ascii="Times New Roman" w:hAnsi="Times New Roman" w:eastAsia="宋体" w:cs="Times New Roman"/>
          <w:b w:val="0"/>
          <w:sz w:val="24"/>
        </w:rPr>
        <w:t>加速时alim取设定加速度a加，停车请求到来后取设定减速度a减。于是底盘经历匀加速、匀速和匀减速三个阶段，软停车直到规划速度降为0后再停止电机。规划器同时由相邻拍速度差计算加速度：</w:t>
      </w:r>
    </w:p>
    <w:p>
      <w:pPr>
        <w:pStyle w:val="Equation"/>
        <w:widowControl/>
        <w:ind w:firstLine="0"/>
        <w:jc w:val="left"/>
        <w:tabs>
          <w:tab w:val="center" w:pos="4535"/>
          <w:tab w:val="right" w:pos="9071"/>
        </w:tabs>
      </w:pPr>
      <w:r>
        <w:tab/>
      </w:r>
      <m:oMath>
        <m:sSub>
          <m:sSubPr/>
          <m:e>
            <m:r>
              <m:rPr>
                <m:sty m:val="p"/>
              </m:rPr>
              <w:rPr>
                <w:rFonts w:ascii="Cambria Math" w:hAnsi="Cambria Math"/>
                <w:sz w:val="24"/>
              </w:rPr>
              <m:t>a</m:t>
            </m:r>
          </m:e>
          <m:sub>
            <m:r>
              <m:rPr>
                <m:sty m:val="p"/>
              </m:rPr>
              <w:rPr>
                <w:rFonts w:ascii="Cambria Math" w:hAnsi="Cambria Math"/>
                <w:sz w:val="24"/>
              </w:rPr>
              <m:t>p</m:t>
            </m:r>
          </m:sub>
        </m:sSub>
        <m:r>
          <m:rPr>
            <m:sty m:val="p"/>
          </m:rPr>
          <w:rPr>
            <w:rFonts w:ascii="Cambria Math" w:hAnsi="Cambria Math"/>
            <w:sz w:val="24"/>
          </w:rPr>
          <m:t>(k)=</m:t>
        </m:r>
        <m:f>
          <m:fPr/>
          <m:num>
            <m:sSub>
              <m:sSubPr/>
              <m:e>
                <m:r>
                  <m:rPr>
                    <m:sty m:val="p"/>
                  </m:rPr>
                  <w:rPr>
                    <w:rFonts w:ascii="Cambria Math" w:hAnsi="Cambria Math"/>
                    <w:sz w:val="24"/>
                  </w:rPr>
                  <m:t>v</m:t>
                </m:r>
              </m:e>
              <m:sub>
                <m:r>
                  <m:rPr>
                    <m:sty m:val="p"/>
                  </m:rPr>
                  <w:rPr>
                    <w:rFonts w:ascii="Cambria Math" w:hAnsi="Cambria Math"/>
                    <w:sz w:val="24"/>
                  </w:rPr>
                  <m:t>p</m:t>
                </m:r>
              </m:sub>
            </m:sSub>
            <m:r>
              <m:rPr>
                <m:sty m:val="p"/>
              </m:rPr>
              <w:rPr>
                <w:rFonts w:ascii="Cambria Math" w:hAnsi="Cambria Math"/>
                <w:sz w:val="24"/>
              </w:rPr>
              <m:t>(k)−</m:t>
            </m:r>
            <m:sSub>
              <m:sSubPr/>
              <m:e>
                <m:r>
                  <m:rPr>
                    <m:sty m:val="p"/>
                  </m:rPr>
                  <w:rPr>
                    <w:rFonts w:ascii="Cambria Math" w:hAnsi="Cambria Math"/>
                    <w:sz w:val="24"/>
                  </w:rPr>
                  <m:t>v</m:t>
                </m:r>
              </m:e>
              <m:sub>
                <m:r>
                  <m:rPr>
                    <m:sty m:val="p"/>
                  </m:rPr>
                  <w:rPr>
                    <w:rFonts w:ascii="Cambria Math" w:hAnsi="Cambria Math"/>
                    <w:sz w:val="24"/>
                  </w:rPr>
                  <m:t>p</m:t>
                </m:r>
              </m:sub>
            </m:sSub>
            <m:r>
              <m:rPr>
                <m:sty m:val="p"/>
              </m:rPr>
              <w:rPr>
                <w:rFonts w:ascii="Cambria Math" w:hAnsi="Cambria Math"/>
                <w:sz w:val="24"/>
              </w:rPr>
              <m:t>(k−1)</m:t>
            </m:r>
          </m:num>
          <m:den>
            <m:r>
              <m:rPr>
                <m:sty m:val="p"/>
              </m:rPr>
              <w:rPr>
                <w:rFonts w:ascii="Cambria Math" w:hAnsi="Cambria Math"/>
                <w:sz w:val="24"/>
              </w:rPr>
              <m:t>Δt</m:t>
            </m:r>
          </m:den>
        </m:f>
      </m:oMath>
      <w:r>
        <w:tab/>
        <w:t>（6）</w:t>
      </w:r>
    </w:p>
    <w:p>
      <w:pPr>
        <w:widowControl/>
        <w:spacing w:lineRule="exact" w:line="440" w:before="0" w:after="0"/>
        <w:ind w:firstLine="482"/>
        <w:jc w:val="both"/>
      </w:pPr>
      <w:r>
        <w:rPr>
          <w:rFonts w:ascii="Times New Roman" w:hAnsi="Times New Roman" w:eastAsia="宋体" w:cs="Times New Roman"/>
          <w:b w:val="0"/>
          <w:sz w:val="24"/>
        </w:rPr>
        <w:t>ap是控制器自身生成的量，早于视觉观察到钢球偏移，因此将其乘以前馈系数Kff得到补偿倾角。当前代码仅在规划速度超过小阈值后启用前馈，避免车轮尚未建立实际运动时提前推球；加速时ap为正，减速时自动变为负，补偿方向随之反转：</w:t>
      </w:r>
    </w:p>
    <w:p>
      <w:pPr>
        <w:pStyle w:val="Equation"/>
        <w:widowControl/>
        <w:ind w:firstLine="0"/>
        <w:jc w:val="left"/>
        <w:tabs>
          <w:tab w:val="center" w:pos="4535"/>
          <w:tab w:val="right" w:pos="9071"/>
        </w:tabs>
      </w:pPr>
      <w:r>
        <w:tab/>
      </w:r>
      <m:oMath>
        <m:sSub>
          <m:sSubPr/>
          <m:e>
            <m:r>
              <m:rPr>
                <m:sty m:val="p"/>
              </m:rPr>
              <w:rPr>
                <w:rFonts w:ascii="Cambria Math" w:hAnsi="Cambria Math"/>
                <w:sz w:val="24"/>
              </w:rPr>
              <m:t>θ</m:t>
            </m:r>
          </m:e>
          <m:sub>
            <m:r>
              <m:rPr>
                <m:sty m:val="p"/>
              </m:rPr>
              <w:rPr>
                <w:rFonts w:ascii="Cambria Math" w:hAnsi="Cambria Math"/>
                <w:sz w:val="24"/>
              </w:rPr>
              <m:t>cmd</m:t>
            </m:r>
          </m:sub>
        </m:sSub>
        <m:r>
          <m:rPr>
            <m:sty m:val="p"/>
          </m:rPr>
          <w:rPr>
            <w:rFonts w:ascii="Cambria Math" w:hAnsi="Cambria Math"/>
            <w:sz w:val="24"/>
          </w:rPr>
          <m:t>=</m:t>
        </m:r>
        <m:sSub>
          <m:sSubPr/>
          <m:e>
            <m:r>
              <m:rPr>
                <m:sty m:val="p"/>
              </m:rPr>
              <w:rPr>
                <w:rFonts w:ascii="Cambria Math" w:hAnsi="Cambria Math"/>
                <w:sz w:val="24"/>
              </w:rPr>
              <m:t>θ</m:t>
            </m:r>
          </m:e>
          <m:sub>
            <m:r>
              <m:rPr>
                <m:sty m:val="p"/>
              </m:rPr>
              <w:rPr>
                <w:rFonts w:ascii="Cambria Math" w:hAnsi="Cambria Math"/>
                <w:sz w:val="24"/>
              </w:rPr>
              <m:t>fb</m:t>
            </m:r>
          </m:sub>
        </m:sSub>
        <m:r>
          <m:rPr>
            <m:sty m:val="p"/>
          </m:rPr>
          <w:rPr>
            <w:rFonts w:ascii="Cambria Math" w:hAnsi="Cambria Math"/>
            <w:sz w:val="24"/>
          </w:rPr>
          <m:t>+</m:t>
        </m:r>
        <m:sSub>
          <m:sSubPr/>
          <m:e>
            <m:r>
              <m:rPr>
                <m:sty m:val="p"/>
              </m:rPr>
              <w:rPr>
                <w:rFonts w:ascii="Cambria Math" w:hAnsi="Cambria Math"/>
                <w:sz w:val="24"/>
              </w:rPr>
              <m:t>θ</m:t>
            </m:r>
          </m:e>
          <m:sub>
            <m:r>
              <m:rPr>
                <m:sty m:val="p"/>
              </m:rPr>
              <w:rPr>
                <w:rFonts w:ascii="Cambria Math" w:hAnsi="Cambria Math"/>
                <w:sz w:val="24"/>
              </w:rPr>
              <m:t>ff</m:t>
            </m:r>
          </m:sub>
        </m:sSub>
        <m:r>
          <m:rPr>
            <m:sty m:val="p"/>
          </m:rPr>
          <w:rPr>
            <w:rFonts w:ascii="Cambria Math" w:hAnsi="Cambria Math"/>
            <w:sz w:val="24"/>
          </w:rPr>
          <m:t>;  </m:t>
        </m:r>
        <m:sSub>
          <m:sSubPr/>
          <m:e>
            <m:r>
              <m:rPr>
                <m:sty m:val="p"/>
              </m:rPr>
              <w:rPr>
                <w:rFonts w:ascii="Cambria Math" w:hAnsi="Cambria Math"/>
                <w:sz w:val="24"/>
              </w:rPr>
              <m:t>θ</m:t>
            </m:r>
          </m:e>
          <m:sub>
            <m:r>
              <m:rPr>
                <m:sty m:val="p"/>
              </m:rPr>
              <w:rPr>
                <w:rFonts w:ascii="Cambria Math" w:hAnsi="Cambria Math"/>
                <w:sz w:val="24"/>
              </w:rPr>
              <m:t>ff</m:t>
            </m:r>
          </m:sub>
        </m:sSub>
        <m:r>
          <m:rPr>
            <m:sty m:val="p"/>
          </m:rPr>
          <w:rPr>
            <w:rFonts w:ascii="Cambria Math" w:hAnsi="Cambria Math"/>
            <w:sz w:val="24"/>
          </w:rPr>
          <m:t>=</m:t>
        </m:r>
        <m:sSub>
          <m:sSubPr/>
          <m:e>
            <m:r>
              <m:rPr>
                <m:sty m:val="p"/>
              </m:rPr>
              <w:rPr>
                <w:rFonts w:ascii="Cambria Math" w:hAnsi="Cambria Math"/>
                <w:sz w:val="24"/>
              </w:rPr>
              <m:t>K</m:t>
            </m:r>
          </m:e>
          <m:sub>
            <m:r>
              <m:rPr>
                <m:sty m:val="p"/>
              </m:rPr>
              <w:rPr>
                <w:rFonts w:ascii="Cambria Math" w:hAnsi="Cambria Math"/>
                <w:sz w:val="24"/>
              </w:rPr>
              <m:t>ff</m:t>
            </m:r>
          </m:sub>
        </m:sSub>
        <m:sSub>
          <m:sSubPr/>
          <m:e>
            <m:r>
              <m:rPr>
                <m:sty m:val="p"/>
              </m:rPr>
              <w:rPr>
                <w:rFonts w:ascii="Cambria Math" w:hAnsi="Cambria Math"/>
                <w:sz w:val="24"/>
              </w:rPr>
              <m:t>a</m:t>
            </m:r>
          </m:e>
          <m:sub>
            <m:r>
              <m:rPr>
                <m:sty m:val="p"/>
              </m:rPr>
              <w:rPr>
                <w:rFonts w:ascii="Cambria Math" w:hAnsi="Cambria Math"/>
                <w:sz w:val="24"/>
              </w:rPr>
              <m:t>p</m:t>
            </m:r>
          </m:sub>
        </m:sSub>
      </m:oMath>
      <w:r>
        <w:tab/>
        <w:t>（7）</w:t>
      </w:r>
    </w:p>
    <w:p>
      <w:pPr>
        <w:widowControl/>
        <w:spacing w:lineRule="exact" w:line="440" w:before="0" w:after="0"/>
        <w:ind w:firstLine="482"/>
        <w:jc w:val="both"/>
      </w:pPr>
      <w:r>
        <w:rPr>
          <w:rFonts w:ascii="Times New Roman" w:hAnsi="Times New Roman" w:eastAsia="宋体" w:cs="Times New Roman"/>
          <w:b w:val="0"/>
          <w:sz w:val="24"/>
        </w:rPr>
        <w:t>三种措施作用互补：梯形轨迹先限制加减速度及惯性扰动幅值；加速度前馈在起步和刹车瞬间预置反向倾角，降低钢球初始位移；串级闭环再根据实际位置、速度消除传动间隙、轮胎打滑、坡度零偏和前馈模型误差。倾角命令进入执行层后还要经过角度变化率限制、传动比与零点换算以及步进电机梯形运动和软限位，从而避免执行器丢步或撞击机械端点。完整信号流如图3所示。</w:t>
      </w:r>
    </w:p>
    <w:p>
      <w:pPr>
        <w:widowControl/>
        <w:spacing w:before="80" w:after="40"/>
        <w:ind w:firstLine="0"/>
        <w:jc w:val="center"/>
      </w:pPr>
      <w:r>
        <w:drawing>
          <wp:inline xmlns:a="http://schemas.openxmlformats.org/drawingml/2006/main" xmlns:pic="http://schemas.openxmlformats.org/drawingml/2006/picture">
            <wp:extent cx="5650992" cy="3093175"/>
            <wp:docPr id="7" name="Picture 7" descr="串级PID、加速度前馈与梯形速度规划协同控制框图" title="串级PID、加速度前馈与梯形速度规划协同控制框图"/>
            <wp:cNvGraphicFramePr>
              <a:graphicFrameLocks noChangeAspect="1"/>
            </wp:cNvGraphicFramePr>
            <a:graphic>
              <a:graphicData uri="http://schemas.openxmlformats.org/drawingml/2006/picture">
                <pic:pic>
                  <pic:nvPicPr>
                    <pic:cNvPr id="0" name="串级PID_前馈_梯形速度规划框图.png"/>
                    <pic:cNvPicPr/>
                  </pic:nvPicPr>
                  <pic:blipFill>
                    <a:blip r:embed="rId16"/>
                    <a:stretch>
                      <a:fillRect/>
                    </a:stretch>
                  </pic:blipFill>
                  <pic:spPr>
                    <a:xfrm>
                      <a:off x="0" y="0"/>
                      <a:ext cx="5650992" cy="3093175"/>
                    </a:xfrm>
                    <a:prstGeom prst="rect"/>
                  </pic:spPr>
                </pic:pic>
              </a:graphicData>
            </a:graphic>
          </wp:inline>
        </w:drawing>
      </w:r>
    </w:p>
    <w:p>
      <w:pPr>
        <w:pStyle w:val="15"/>
        <w:widowControl/>
        <w:ind w:firstLine="0"/>
        <w:jc w:val="center"/>
      </w:pPr>
      <w:r>
        <w:t>图3  串级PID、加速度前馈与梯形速度规划协同控制框图</w:t>
      </w:r>
    </w:p>
    <w:p w14:paraId="3B6DDF5C">
      <w:pPr>
        <w:pStyle w:val="4"/>
        <w:keepNext/>
        <w:widowControl/>
        <w:spacing w:before="100" w:after="20" w:line="440" w:lineRule="exact"/>
        <w:ind w:firstLine="0"/>
        <w:jc w:val="left"/>
        <w:rPr>
          <w:color w:val="000000" w:themeColor="text1"/>
          <w14:textFill>
            <w14:solidFill>
              <w14:schemeClr w14:val="tx1"/>
            </w14:solidFill>
          </w14:textFill>
        </w:rPr>
      </w:pPr>
      <w:r>
        <w:rPr>
          <w:rFonts w:ascii="黑体" w:hAnsi="黑体" w:eastAsia="黑体"/>
          <w:b/>
          <w:sz w:val="30"/>
        </w:rPr>
        <w:t>3.4 小车循迹控制</w:t>
      </w:r>
    </w:p>
    <w:p w14:paraId="592BD9B5">
      <w:pPr>
        <w:widowControl/>
        <w:spacing w:before="0" w:after="0" w:line="440" w:lineRule="exact"/>
        <w:ind w:firstLine="482"/>
        <w:jc w:val="both"/>
        <w:rPr>
          <w:color w:val="000000" w:themeColor="text1"/>
          <w14:textFill>
            <w14:solidFill>
              <w14:schemeClr w14:val="tx1"/>
            </w14:solidFill>
          </w14:textFill>
        </w:rPr>
      </w:pPr>
      <w:r>
        <w:rPr>
          <w:rFonts w:ascii="Times New Roman" w:hAnsi="Times New Roman" w:eastAsia="宋体" w:cs="Times New Roman"/>
          <w:b w:val="0"/>
          <w:sz w:val="24"/>
        </w:rPr>
        <w:t>六路红外传感器按横向位置赋予−9～+9的权值，当前检测到黑线的通道权值取平均，并经一阶低通得到巡线误差el。巡线PID输出差速修正量Δv，左右轮目标速度分别为vL=vp+Δv、vR=vp−Δv，其中基准速度vp不是阶跃值，而是3.3节所述梯形规划速度。底层双轮速度PI根据编码器实测速度修正PWM，并叠加速度前馈和静摩擦补偿。停车时状态机把巡线目标速度改为0，统一减速度将vp平滑降至0；连续丢线达到阈值则停止并退出，避免在无轨迹依据时继续运动。</w:t>
      </w:r>
    </w:p>
    <w:p>
      <w:pPr>
        <w:pStyle w:val="3"/>
        <w:widowControl/>
      </w:pPr>
      <w:r>
        <w:t>四、系统硬件与机械设计</w:t>
      </w:r>
    </w:p>
    <w:p w14:paraId="128AB8FA">
      <w:pPr>
        <w:pStyle w:val="4"/>
        <w:keepNext/>
        <w:widowControl/>
        <w:spacing w:before="100" w:after="20" w:line="440" w:lineRule="exact"/>
        <w:ind w:firstLine="0"/>
        <w:jc w:val="left"/>
        <w:rPr>
          <w:color w:val="000000" w:themeColor="text1"/>
          <w14:textFill>
            <w14:solidFill>
              <w14:schemeClr w14:val="tx1"/>
            </w14:solidFill>
          </w14:textFill>
        </w:rPr>
      </w:pPr>
      <w:r>
        <w:rPr>
          <w:rFonts w:ascii="黑体" w:hAnsi="黑体" w:eastAsia="黑体"/>
          <w:b/>
          <w:i w:val="0"/>
          <w:color w:val="000000" w:themeColor="text1"/>
          <w:sz w:val="30"/>
          <w14:textFill>
            <w14:solidFill>
              <w14:schemeClr w14:val="tx1"/>
            </w14:solidFill>
          </w14:textFill>
        </w:rPr>
        <w:t>4.1 机械结构设计</w:t>
      </w:r>
    </w:p>
    <w:p w14:paraId="03EB55CF">
      <w:pPr>
        <w:widowControl/>
        <w:spacing w:before="0" w:after="0" w:line="440" w:lineRule="exact"/>
        <w:ind w:firstLine="482"/>
        <w:jc w:val="both"/>
        <w:rPr>
          <w:color w:val="000000" w:themeColor="text1"/>
          <w14:textFill>
            <w14:solidFill>
              <w14:schemeClr w14:val="tx1"/>
            </w14:solidFill>
          </w14:textFill>
        </w:rPr>
      </w:pPr>
      <w:r>
        <w:rPr>
          <w:rFonts w:ascii="Times New Roman" w:hAnsi="Times New Roman" w:eastAsia="宋体" w:cs="Times New Roman"/>
          <w:b w:val="0"/>
          <w:sz w:val="24"/>
        </w:rPr>
        <w:t>摆杆按赛题要求采用长度约25 cm的PPR管改造，保持凹槽内壁光滑，钢球直径约1 cm。摆杆左端采用铰接固定，另一端连接齿轮齿条升降机构。MS42步进电机安装在车体中部，通过驱动齿轮与竖直齿条啮合，将电机转动转换为摆杆端部的升降位移；导向件和安装板限制机构偏摆。龙门架从摆杆两侧与车体连接，摄像头固定在顶部横梁上，视场覆盖整个凹槽。SolidWorks建模与实际搭建的对应关系如图4所示。</w:t>
      </w:r>
    </w:p>
    <w:p w14:paraId="34B13AF0">
      <w:pPr>
        <w:keepNext/>
        <w:widowControl/>
        <w:spacing w:before="80" w:after="40" w:line="240" w:lineRule="auto"/>
        <w:ind w:firstLine="0"/>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303520" cy="2454910"/>
            <wp:effectExtent l="0" t="0" r="0" b="13970"/>
            <wp:docPr id="3" name="Picture 3" descr="龙门架与齿轮齿条结构的建模及实物对照" title="龙门架与齿轮齿条结构的建模及实物对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图 3 龙门架与齿轮齿条结构的建模及实物对照" title="图 3 龙门架与齿轮齿条结构的建模及实物对照"/>
                    <pic:cNvPicPr>
                      <a:picLocks noChangeAspect="1"/>
                    </pic:cNvPicPr>
                  </pic:nvPicPr>
                  <pic:blipFill>
                    <a:blip r:embed="rId9"/>
                    <a:stretch>
                      <a:fillRect/>
                    </a:stretch>
                  </pic:blipFill>
                  <pic:spPr>
                    <a:xfrm>
                      <a:off x="0" y="0"/>
                      <a:ext cx="5303520" cy="2455333"/>
                    </a:xfrm>
                    <a:prstGeom prst="rect">
                      <a:avLst/>
                    </a:prstGeom>
                  </pic:spPr>
                </pic:pic>
              </a:graphicData>
            </a:graphic>
          </wp:inline>
        </w:drawing>
      </w:r>
    </w:p>
    <w:p w14:paraId="1BF1028B">
      <w:pPr>
        <w:pStyle w:val="15"/>
        <w:widowControl/>
        <w:spacing w:before="0" w:after="100" w:line="320" w:lineRule="exact"/>
        <w:ind w:firstLine="0"/>
        <w:jc w:val="center"/>
        <w:rPr>
          <w:color w:val="000000" w:themeColor="text1"/>
          <w14:textFill>
            <w14:solidFill>
              <w14:schemeClr w14:val="tx1"/>
            </w14:solidFill>
          </w14:textFill>
        </w:rPr>
      </w:pPr>
      <w:r>
        <w:t>图4  龙门架与齿轮齿条结构的建模及实物对照</w:t>
      </w:r>
    </w:p>
    <w:p w14:paraId="4C343737">
      <w:pPr>
        <w:pStyle w:val="4"/>
        <w:keepNext/>
        <w:widowControl/>
        <w:spacing w:before="100" w:after="20" w:line="440" w:lineRule="exact"/>
        <w:ind w:firstLine="0"/>
        <w:jc w:val="left"/>
        <w:rPr>
          <w:color w:val="000000" w:themeColor="text1"/>
          <w14:textFill>
            <w14:solidFill>
              <w14:schemeClr w14:val="tx1"/>
            </w14:solidFill>
          </w14:textFill>
        </w:rPr>
      </w:pPr>
      <w:r>
        <w:rPr>
          <w:rFonts w:ascii="黑体" w:hAnsi="黑体" w:eastAsia="黑体"/>
          <w:b/>
          <w:i w:val="0"/>
          <w:color w:val="000000" w:themeColor="text1"/>
          <w:sz w:val="30"/>
          <w14:textFill>
            <w14:solidFill>
              <w14:schemeClr w14:val="tx1"/>
            </w14:solidFill>
          </w14:textFill>
        </w:rPr>
        <w:t>4.2 电路与 PCB 设计</w:t>
      </w:r>
    </w:p>
    <w:p w14:paraId="05E8A476">
      <w:pPr>
        <w:widowControl/>
        <w:spacing w:before="0" w:after="0" w:line="440" w:lineRule="exact"/>
        <w:ind w:firstLine="482"/>
        <w:jc w:val="both"/>
        <w:rPr>
          <w:color w:val="000000" w:themeColor="text1"/>
          <w14:textFill>
            <w14:solidFill>
              <w14:schemeClr w14:val="tx1"/>
            </w14:solidFill>
          </w14:textFill>
        </w:rPr>
      </w:pPr>
      <w:r>
        <w:rPr>
          <w:rFonts w:ascii="Times New Roman" w:hAnsi="Times New Roman" w:eastAsia="宋体" w:cs="Times New Roman"/>
          <w:b w:val="0"/>
          <w:i w:val="0"/>
          <w:color w:val="000000" w:themeColor="text1"/>
          <w:sz w:val="24"/>
          <w14:textFill>
            <w14:solidFill>
              <w14:schemeClr w14:val="tx1"/>
            </w14:solidFill>
          </w14:textFill>
        </w:rPr>
        <w:t>主控板采用原理图中标注的MSPM0G3507开发板，传感器、驱动和人机接口通过排针及接线柱连接。TB6612负责小车电机的双路PWM驱动；MS42驱动板接收步进脉冲和方向信号；六路红外光电传感器接入主控输入；K230与主控之间使用串口传输坐标帧，MPU6050、OLED等模块通过预留接口连接。电源设计中将逻辑控制、视觉和电机执行器分区布线，驱动端设置去耦和续流通路，降低步进电机和底盘电机对视觉及主控的干扰。原理图所示为多路接口预留版本，实际装配循迹传感器为六路。</w:t>
      </w:r>
    </w:p>
    <w:p w14:paraId="3300BEC1">
      <w:pPr>
        <w:keepNext/>
        <w:widowControl/>
        <w:spacing w:before="80" w:after="40" w:line="240" w:lineRule="auto"/>
        <w:ind w:firstLine="0"/>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120640" cy="3629660"/>
            <wp:effectExtent l="0" t="0" r="0" b="12700"/>
            <wp:docPr id="4" name="Picture 4" descr="控制系统原理图" title="控制系统原理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图 4 控制系统原理图（团队设计）" title="图 4 控制系统原理图（团队设计）"/>
                    <pic:cNvPicPr>
                      <a:picLocks noChangeAspect="1"/>
                    </pic:cNvPicPr>
                  </pic:nvPicPr>
                  <pic:blipFill>
                    <a:blip r:embed="rId10"/>
                    <a:stretch>
                      <a:fillRect/>
                    </a:stretch>
                  </pic:blipFill>
                  <pic:spPr>
                    <a:xfrm>
                      <a:off x="0" y="0"/>
                      <a:ext cx="5120640" cy="3629937"/>
                    </a:xfrm>
                    <a:prstGeom prst="rect">
                      <a:avLst/>
                    </a:prstGeom>
                  </pic:spPr>
                </pic:pic>
              </a:graphicData>
            </a:graphic>
          </wp:inline>
        </w:drawing>
      </w:r>
    </w:p>
    <w:p w14:paraId="29316E4C">
      <w:pPr>
        <w:pStyle w:val="15"/>
        <w:widowControl/>
        <w:spacing w:before="0" w:after="100" w:line="320" w:lineRule="exact"/>
        <w:ind w:firstLine="0"/>
        <w:jc w:val="center"/>
        <w:rPr>
          <w:color w:val="000000" w:themeColor="text1"/>
          <w14:textFill>
            <w14:solidFill>
              <w14:schemeClr w14:val="tx1"/>
            </w14:solidFill>
          </w14:textFill>
        </w:rPr>
      </w:pPr>
      <w:r>
        <w:t>图5  控制系统原理图</w:t>
      </w:r>
    </w:p>
    <w:p w14:paraId="7495D393">
      <w:pPr>
        <w:keepNext/>
        <w:widowControl/>
        <w:spacing w:before="80" w:after="40" w:line="240" w:lineRule="auto"/>
        <w:ind w:firstLine="0"/>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4389120" cy="3956050"/>
            <wp:effectExtent l="0" t="0" r="0" b="6350"/>
            <wp:docPr id="5" name="Picture 5" descr="控制系统PCB布局图" title="控制系统PCB布局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图 5 控制系统 PCB 布局图（约 87.9 mm × 82.2 mm）" title="图 5 控制系统 PCB 布局图（约 87.9 mm × 82.2 mm）"/>
                    <pic:cNvPicPr>
                      <a:picLocks noChangeAspect="1"/>
                    </pic:cNvPicPr>
                  </pic:nvPicPr>
                  <pic:blipFill>
                    <a:blip r:embed="rId11"/>
                    <a:stretch>
                      <a:fillRect/>
                    </a:stretch>
                  </pic:blipFill>
                  <pic:spPr>
                    <a:xfrm>
                      <a:off x="0" y="0"/>
                      <a:ext cx="4389120" cy="3956304"/>
                    </a:xfrm>
                    <a:prstGeom prst="rect">
                      <a:avLst/>
                    </a:prstGeom>
                  </pic:spPr>
                </pic:pic>
              </a:graphicData>
            </a:graphic>
          </wp:inline>
        </w:drawing>
      </w:r>
    </w:p>
    <w:p w14:paraId="64BC5239">
      <w:pPr>
        <w:pStyle w:val="15"/>
        <w:widowControl/>
        <w:spacing w:before="0" w:after="100" w:line="320" w:lineRule="exact"/>
        <w:ind w:firstLine="0"/>
        <w:jc w:val="center"/>
        <w:rPr>
          <w:color w:val="000000" w:themeColor="text1"/>
          <w14:textFill>
            <w14:solidFill>
              <w14:schemeClr w14:val="tx1"/>
            </w14:solidFill>
          </w14:textFill>
        </w:rPr>
      </w:pPr>
      <w:r>
        <w:t>图6  控制系统PCB布局图（约87.9 mm×82.2 mm）</w:t>
      </w:r>
    </w:p>
    <w:p w14:paraId="143B5CF7">
      <w:pPr>
        <w:pStyle w:val="3"/>
        <w:keepNext/>
        <w:widowControl/>
        <w:spacing w:before="100" w:after="20" w:line="440" w:lineRule="exact"/>
        <w:ind w:firstLine="0"/>
        <w:jc w:val="left"/>
        <w:rPr>
          <w:color w:val="000000" w:themeColor="text1"/>
          <w14:textFill>
            <w14:solidFill>
              <w14:schemeClr w14:val="tx1"/>
            </w14:solidFill>
          </w14:textFill>
        </w:rPr>
      </w:pPr>
      <w:r>
        <w:t>五、软件设计</w:t>
      </w:r>
    </w:p>
    <w:p>
      <w:pPr>
        <w:pStyle w:val="4"/>
        <w:widowControl/>
      </w:pPr>
      <w:r>
        <w:t>5.1 主程序与状态机</w:t>
      </w:r>
    </w:p>
    <w:p w14:paraId="784C6F21">
      <w:pPr>
        <w:widowControl/>
        <w:spacing w:before="0" w:after="0" w:line="440" w:lineRule="exact"/>
        <w:ind w:firstLine="482"/>
        <w:jc w:val="both"/>
        <w:rPr>
          <w:color w:val="000000" w:themeColor="text1"/>
          <w14:textFill>
            <w14:solidFill>
              <w14:schemeClr w14:val="tx1"/>
            </w14:solidFill>
          </w14:textFill>
        </w:rPr>
      </w:pPr>
      <w:r>
        <w:rPr>
          <w:rFonts w:ascii="Times New Roman" w:hAnsi="Times New Roman" w:eastAsia="宋体" w:cs="Times New Roman"/>
          <w:b w:val="0"/>
          <w:sz w:val="24"/>
        </w:rPr>
        <w:t>软件采用100 Hz定时更新与事件状态机结合的结构。每拍先更新K230数据和钢球位置、速度估计，再推进巡线梯形速度轨迹与轮速闭环，随后执行滚球串级控制并把本拍规划加速度送入前馈支路，最后由摆杆执行层更新步进目标。主循环负责按键、OLED、蜂鸣器、任务计时和模式切换。位置外环增益、速度PI增益、最大球速、前馈系数、前馈启用阈值以及底盘加减速度均可通过蓝牙调参接口在线修改，并可由遥测同时观察球位置、目标球速、倾角和底盘规划加速度。任何串口超时、坐标越界、连续丢线或执行异常均进入故障保护。</w:t>
      </w:r>
    </w:p>
    <w:p w14:paraId="49BA3627">
      <w:pPr>
        <w:keepNext/>
        <w:widowControl/>
        <w:spacing w:before="80" w:after="40" w:line="240" w:lineRule="auto"/>
        <w:ind w:firstLine="0"/>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3548380" cy="3693795"/>
            <wp:effectExtent l="0" t="0" r="2540" b="9525"/>
            <wp:docPr id="6" name="Picture 6" descr="软件主流程图" title="软件主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图 6 软件主流程图" title="图 6 软件主流程图"/>
                    <pic:cNvPicPr>
                      <a:picLocks noChangeAspect="1"/>
                    </pic:cNvPicPr>
                  </pic:nvPicPr>
                  <pic:blipFill>
                    <a:blip r:embed="rId12"/>
                    <a:stretch>
                      <a:fillRect/>
                    </a:stretch>
                  </pic:blipFill>
                  <pic:spPr>
                    <a:xfrm>
                      <a:off x="0" y="0"/>
                      <a:ext cx="3548380" cy="3693861"/>
                    </a:xfrm>
                    <a:prstGeom prst="rect">
                      <a:avLst/>
                    </a:prstGeom>
                  </pic:spPr>
                </pic:pic>
              </a:graphicData>
            </a:graphic>
          </wp:inline>
        </w:drawing>
      </w:r>
    </w:p>
    <w:p w14:paraId="29D5D608">
      <w:pPr>
        <w:pStyle w:val="15"/>
        <w:keepNext/>
        <w:widowControl/>
        <w:spacing w:before="100" w:after="60" w:line="320" w:lineRule="exact"/>
        <w:ind w:firstLine="0"/>
        <w:jc w:val="center"/>
        <w:rPr>
          <w:rFonts w:ascii="宋体" w:hAnsi="宋体" w:eastAsia="宋体"/>
          <w:b w:val="0"/>
          <w:i w:val="0"/>
          <w:color w:val="000000" w:themeColor="text1"/>
          <w:sz w:val="20"/>
          <w14:textFill>
            <w14:solidFill>
              <w14:schemeClr w14:val="tx1"/>
            </w14:solidFill>
          </w14:textFill>
        </w:rPr>
      </w:pPr>
      <w:r>
        <w:t>图7  软件主流程图</w:t>
      </w:r>
    </w:p>
    <w:p w14:paraId="0EF05855">
      <w:pPr>
        <w:pStyle w:val="3"/>
        <w:keepNext/>
        <w:widowControl/>
        <w:spacing w:before="100" w:after="20" w:line="440" w:lineRule="exact"/>
        <w:ind w:firstLine="0"/>
        <w:jc w:val="left"/>
        <w:rPr>
          <w:color w:val="000000" w:themeColor="text1"/>
          <w14:textFill>
            <w14:solidFill>
              <w14:schemeClr w14:val="tx1"/>
            </w14:solidFill>
          </w14:textFill>
        </w:rPr>
      </w:pPr>
      <w:r>
        <w:t>六、测试方案与测试结果</w:t>
      </w:r>
    </w:p>
    <w:p w14:paraId="19639449">
      <w:pPr>
        <w:pStyle w:val="4"/>
        <w:keepNext/>
        <w:widowControl/>
        <w:spacing w:before="100" w:after="20" w:line="440" w:lineRule="exact"/>
        <w:ind w:firstLine="0"/>
        <w:jc w:val="left"/>
        <w:rPr>
          <w:color w:val="000000" w:themeColor="text1"/>
          <w14:textFill>
            <w14:solidFill>
              <w14:schemeClr w14:val="tx1"/>
            </w14:solidFill>
          </w14:textFill>
        </w:rPr>
      </w:pPr>
      <w:r>
        <w:t>6.1 测试环境、设备与方法</w:t>
      </w:r>
    </w:p>
    <w:p w14:paraId="0A97FA62">
      <w:pPr>
        <w:widowControl/>
        <w:spacing w:before="0" w:after="0" w:line="440" w:lineRule="exact"/>
        <w:ind w:firstLine="482"/>
        <w:jc w:val="both"/>
        <w:rPr>
          <w:color w:val="000000" w:themeColor="text1"/>
          <w14:textFill>
            <w14:solidFill>
              <w14:schemeClr w14:val="tx1"/>
            </w14:solidFill>
          </w14:textFill>
        </w:rPr>
      </w:pPr>
      <w:r>
        <w:rPr>
          <w:rFonts w:ascii="Times New Roman" w:hAnsi="Times New Roman" w:eastAsia="宋体" w:cs="Times New Roman"/>
          <w:b w:val="0"/>
          <w:sz w:val="24"/>
        </w:rPr>
        <w:t>测试使用赛题环形黑线场地、钢球、摆杆刻度、直尺、系统计时、K230图像记录装置和上位机遥测。每项测试至少重复3次，记录完成时间、最大位置偏差和是否满足指标。测试前检查车身尺寸不超过35 cm×25 cm、摆杆高度h≥5 cm、图传画面覆盖全槽，并完成钢球坐标零点、摆杆水平零点、巡线阈值和轮速标定。控制参数按“先内环、再外环、最后前馈”的顺序整定：先在静止底盘上调速度PI和位置P，再启用梯形加减速，最后根据起步与刹车方向调节Kff。</w:t>
      </w:r>
    </w:p>
    <w:p w14:paraId="0B0A0769">
      <w:pPr>
        <w:widowControl/>
        <w:spacing w:before="0" w:after="0" w:line="440" w:lineRule="exact"/>
        <w:ind w:firstLine="482"/>
        <w:jc w:val="both"/>
        <w:rPr>
          <w:color w:val="000000" w:themeColor="text1"/>
          <w14:textFill>
            <w14:solidFill>
              <w14:schemeClr w14:val="tx1"/>
            </w14:solidFill>
          </w14:textFill>
        </w:rPr>
      </w:pPr>
      <w:r>
        <w:rPr>
          <w:rFonts w:ascii="Times New Roman" w:hAnsi="Times New Roman" w:eastAsia="宋体" w:cs="Times New Roman"/>
          <w:b w:val="0"/>
          <w:sz w:val="24"/>
        </w:rPr>
        <w:t>第1项测试检查图传实时性与录像完整性。第2项记录A点出发至回到A点的总时间和停车偏差。第3项在小车静止时按中心、+5 cm、中心、−5 cm的顺序改变目标，记录到达时间和最大误差。第4～6项分别对应A到B中心保持、整圈中心保持和整圈任意位置保持；除最终稳态误差外，单独回看起步加速段与终点制动段的最大偏移，并对照遥测中的规划速度vp、规划加速度ap、目标球速vr和倾角θcmd，确认前馈方向及减速切换正确。</w:t>
      </w:r>
    </w:p>
    <w:p w14:paraId="218C1E49">
      <w:pPr>
        <w:pStyle w:val="4"/>
        <w:keepNext/>
        <w:widowControl/>
        <w:spacing w:before="100" w:after="20" w:line="440" w:lineRule="exact"/>
        <w:ind w:firstLine="0"/>
        <w:jc w:val="left"/>
        <w:rPr>
          <w:rFonts w:ascii="黑体" w:hAnsi="黑体" w:eastAsia="黑体"/>
          <w:b/>
          <w:i w:val="0"/>
          <w:color w:val="000000" w:themeColor="text1"/>
          <w:sz w:val="26"/>
          <w14:textFill>
            <w14:solidFill>
              <w14:schemeClr w14:val="tx1"/>
            </w14:solidFill>
          </w14:textFill>
        </w:rPr>
      </w:pPr>
      <w:r>
        <w:t>6.2 测试结果</w:t>
      </w:r>
    </w:p>
    <w:p>
      <w:pPr>
        <w:pStyle w:val="15"/>
        <w:widowControl/>
        <w:ind w:firstLine="0"/>
        <w:jc w:val="center"/>
      </w:pPr>
      <w:r>
        <w:t>表3  系统测试结果</w:t>
      </w:r>
    </w:p>
    <w:tbl>
      <w:tblPr>
        <w:tblW w:w="9071" w:type="dxa"/>
        <w:jc w:val="left"/>
        <w:tblBorders>
          <w:top w:val="single" w:color="000000" w:sz="18" w:space="0"/>
          <w:left w:val="nil" w:color="000000" w:sz="0" w:space="0"/>
          <w:bottom w:val="single" w:color="000000" w:sz="18" w:space="0"/>
          <w:right w:val="nil" w:color="000000" w:sz="0" w:space="0"/>
          <w:insideH w:val="nil" w:color="000000" w:sz="0" w:space="0"/>
          <w:insideV w:val="nil" w:color="000000" w:sz="0" w:space="0"/>
        </w:tblBorders>
        <w:tblLayout w:type="fixed"/>
        <w:tblCellMar>
          <w:top w:w="0" w:type="dxa"/>
          <w:left w:w="108" w:type="dxa"/>
          <w:bottom w:w="0" w:type="dxa"/>
          <w:right w:w="108" w:type="dxa"/>
        </w:tblCellMar>
        <w:tblInd w:type="dxa" w:w="0"/>
      </w:tblPr>
      <w:tblGrid>
        <w:gridCol w:w="1350"/>
        <w:gridCol w:w="1750"/>
        <w:gridCol w:w="900"/>
        <w:gridCol w:w="900"/>
        <w:gridCol w:w="900"/>
        <w:gridCol w:w="3271"/>
      </w:tblGrid>
      <w:tr w14:paraId="734E2F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cantSplit/>
        </w:trPr>
        <w:tc>
          <w:tcPr>
            <w:tcW w:w="1350" w:type="dxa"/>
            <w:tcBorders>
              <w:top w:val="nil" w:color="000000" w:sz="0" w:space="0"/>
              <w:left w:val="nil" w:color="000000" w:sz="0" w:space="0"/>
              <w:bottom w:val="single" w:color="000000" w:sz="8" w:space="0"/>
              <w:right w:val="nil" w:color="000000" w:sz="0" w:space="0"/>
              <w:insideH w:val="nil" w:sz="0" w:space="0" w:color="000000"/>
              <w:insideV w:val="nil" w:sz="0" w:space="0" w:color="000000"/>
            </w:tcBorders>
            <w:shd w:val="clear" w:color="auto" w:fill="E8EEF4"/>
            <w:tcMar>
              <w:top w:w="100" w:type="dxa"/>
              <w:left w:w="120" w:type="dxa"/>
              <w:bottom w:w="100" w:type="dxa"/>
              <w:right w:w="120" w:type="dxa"/>
            </w:tcMar>
            <w:vAlign w:val="center"/>
          </w:tcPr>
          <w:p w14:paraId="0C2F7C71">
            <w:pPr>
              <w:spacing w:after="0" w:line="360" w:lineRule="exact" w:before="0"/>
              <w:ind w:firstLine="0"/>
              <w:jc w:val="center"/>
            </w:pPr>
            <w:r>
              <w:rPr>
                <w:rFonts w:ascii="Times New Roman" w:hAnsi="Times New Roman" w:eastAsia="宋体" w:cs="Times New Roman"/>
                <w:b/>
                <w:i w:val="0"/>
                <w:sz w:val="21"/>
              </w:rPr>
              <w:t>项目</w:t>
            </w:r>
          </w:p>
        </w:tc>
        <w:tc>
          <w:tcPr>
            <w:tcW w:w="1750" w:type="dxa"/>
            <w:tcBorders>
              <w:top w:val="nil" w:color="000000" w:sz="0" w:space="0"/>
              <w:left w:val="nil" w:color="000000" w:sz="0" w:space="0"/>
              <w:bottom w:val="single" w:color="000000" w:sz="8" w:space="0"/>
              <w:right w:val="nil" w:color="000000" w:sz="0" w:space="0"/>
              <w:insideH w:val="nil" w:sz="0" w:space="0" w:color="000000"/>
              <w:insideV w:val="nil" w:sz="0" w:space="0" w:color="000000"/>
            </w:tcBorders>
            <w:shd w:val="clear" w:color="auto" w:fill="E8EEF4"/>
            <w:tcMar>
              <w:top w:w="100" w:type="dxa"/>
              <w:left w:w="120" w:type="dxa"/>
              <w:bottom w:w="100" w:type="dxa"/>
              <w:right w:w="120" w:type="dxa"/>
            </w:tcMar>
            <w:vAlign w:val="center"/>
          </w:tcPr>
          <w:p w14:paraId="211F2CCF">
            <w:pPr>
              <w:spacing w:after="0" w:line="360" w:lineRule="exact" w:before="0"/>
              <w:ind w:firstLine="0"/>
              <w:jc w:val="center"/>
            </w:pPr>
            <w:r>
              <w:rPr>
                <w:rFonts w:ascii="Times New Roman" w:hAnsi="Times New Roman" w:eastAsia="宋体" w:cs="Times New Roman"/>
                <w:b/>
                <w:i w:val="0"/>
                <w:sz w:val="21"/>
              </w:rPr>
              <w:t>指标</w:t>
            </w:r>
          </w:p>
        </w:tc>
        <w:tc>
          <w:tcPr>
            <w:tcW w:w="900" w:type="dxa"/>
            <w:tcBorders>
              <w:top w:val="nil" w:color="000000" w:sz="0" w:space="0"/>
              <w:left w:val="nil" w:color="000000" w:sz="0" w:space="0"/>
              <w:bottom w:val="single" w:color="000000" w:sz="8" w:space="0"/>
              <w:right w:val="nil" w:color="000000" w:sz="0" w:space="0"/>
              <w:insideH w:val="nil" w:sz="0" w:space="0" w:color="000000"/>
              <w:insideV w:val="nil" w:sz="0" w:space="0" w:color="000000"/>
            </w:tcBorders>
            <w:shd w:val="clear" w:color="auto" w:fill="E8EEF4"/>
            <w:tcMar>
              <w:top w:w="100" w:type="dxa"/>
              <w:left w:w="120" w:type="dxa"/>
              <w:bottom w:w="100" w:type="dxa"/>
              <w:right w:w="120" w:type="dxa"/>
            </w:tcMar>
            <w:vAlign w:val="center"/>
          </w:tcPr>
          <w:p w14:paraId="1016352E">
            <w:pPr>
              <w:spacing w:after="0" w:line="360" w:lineRule="exact" w:before="0"/>
              <w:ind w:firstLine="0"/>
              <w:jc w:val="center"/>
            </w:pPr>
            <w:r>
              <w:rPr>
                <w:rFonts w:ascii="Times New Roman" w:hAnsi="Times New Roman" w:eastAsia="宋体" w:cs="Times New Roman"/>
                <w:b/>
                <w:i w:val="0"/>
                <w:sz w:val="21"/>
              </w:rPr>
              <w:t>第 1 次</w:t>
            </w:r>
          </w:p>
        </w:tc>
        <w:tc>
          <w:tcPr>
            <w:tcW w:w="900" w:type="dxa"/>
            <w:tcBorders>
              <w:top w:val="nil" w:color="000000" w:sz="0" w:space="0"/>
              <w:left w:val="nil" w:color="000000" w:sz="0" w:space="0"/>
              <w:bottom w:val="single" w:color="000000" w:sz="8" w:space="0"/>
              <w:right w:val="nil" w:color="000000" w:sz="0" w:space="0"/>
              <w:insideH w:val="nil" w:sz="0" w:space="0" w:color="000000"/>
              <w:insideV w:val="nil" w:sz="0" w:space="0" w:color="000000"/>
            </w:tcBorders>
            <w:shd w:val="clear" w:color="auto" w:fill="E8EEF4"/>
            <w:tcMar>
              <w:top w:w="100" w:type="dxa"/>
              <w:left w:w="120" w:type="dxa"/>
              <w:bottom w:w="100" w:type="dxa"/>
              <w:right w:w="120" w:type="dxa"/>
            </w:tcMar>
            <w:vAlign w:val="center"/>
          </w:tcPr>
          <w:p w14:paraId="5FA30B20">
            <w:pPr>
              <w:spacing w:after="0" w:line="360" w:lineRule="exact" w:before="0"/>
              <w:ind w:firstLine="0"/>
              <w:jc w:val="center"/>
            </w:pPr>
            <w:r>
              <w:rPr>
                <w:rFonts w:ascii="Times New Roman" w:hAnsi="Times New Roman" w:eastAsia="宋体" w:cs="Times New Roman"/>
                <w:b/>
                <w:i w:val="0"/>
                <w:sz w:val="21"/>
              </w:rPr>
              <w:t>第 2 次</w:t>
            </w:r>
          </w:p>
        </w:tc>
        <w:tc>
          <w:tcPr>
            <w:tcW w:w="900" w:type="dxa"/>
            <w:tcBorders>
              <w:top w:val="nil" w:color="000000" w:sz="0" w:space="0"/>
              <w:left w:val="nil" w:color="000000" w:sz="0" w:space="0"/>
              <w:bottom w:val="single" w:color="000000" w:sz="8" w:space="0"/>
              <w:right w:val="nil" w:color="000000" w:sz="0" w:space="0"/>
              <w:insideH w:val="nil" w:sz="0" w:space="0" w:color="000000"/>
              <w:insideV w:val="nil" w:sz="0" w:space="0" w:color="000000"/>
            </w:tcBorders>
            <w:shd w:val="clear" w:color="auto" w:fill="E8EEF4"/>
            <w:tcMar>
              <w:top w:w="100" w:type="dxa"/>
              <w:left w:w="120" w:type="dxa"/>
              <w:bottom w:w="100" w:type="dxa"/>
              <w:right w:w="120" w:type="dxa"/>
            </w:tcMar>
            <w:vAlign w:val="center"/>
          </w:tcPr>
          <w:p w14:paraId="5FD45ADB">
            <w:pPr>
              <w:spacing w:after="0" w:line="360" w:lineRule="exact" w:before="0"/>
              <w:ind w:firstLine="0"/>
              <w:jc w:val="center"/>
            </w:pPr>
            <w:r>
              <w:rPr>
                <w:rFonts w:ascii="Times New Roman" w:hAnsi="Times New Roman" w:eastAsia="宋体" w:cs="Times New Roman"/>
                <w:b/>
                <w:i w:val="0"/>
                <w:sz w:val="21"/>
              </w:rPr>
              <w:t>第 3 次</w:t>
            </w:r>
          </w:p>
        </w:tc>
        <w:tc>
          <w:tcPr>
            <w:tcW w:w="3271" w:type="dxa"/>
            <w:tcBorders>
              <w:top w:val="nil" w:color="000000" w:sz="0" w:space="0"/>
              <w:left w:val="nil" w:color="000000" w:sz="0" w:space="0"/>
              <w:bottom w:val="single" w:color="000000" w:sz="8" w:space="0"/>
              <w:right w:val="nil" w:color="000000" w:sz="0" w:space="0"/>
              <w:insideH w:val="nil" w:sz="0" w:space="0" w:color="000000"/>
              <w:insideV w:val="nil" w:sz="0" w:space="0" w:color="000000"/>
            </w:tcBorders>
            <w:shd w:val="clear" w:color="auto" w:fill="E8EEF4"/>
            <w:tcMar>
              <w:top w:w="100" w:type="dxa"/>
              <w:left w:w="120" w:type="dxa"/>
              <w:bottom w:w="100" w:type="dxa"/>
              <w:right w:w="120" w:type="dxa"/>
            </w:tcMar>
            <w:vAlign w:val="center"/>
          </w:tcPr>
          <w:p w14:paraId="4A63823B">
            <w:pPr>
              <w:spacing w:after="0" w:line="360" w:lineRule="exact" w:before="0"/>
              <w:ind w:firstLine="0"/>
              <w:jc w:val="center"/>
            </w:pPr>
            <w:r>
              <w:rPr>
                <w:rFonts w:ascii="Times New Roman" w:hAnsi="Times New Roman" w:eastAsia="宋体" w:cs="Times New Roman"/>
                <w:b/>
                <w:i w:val="0"/>
                <w:sz w:val="21"/>
              </w:rPr>
              <w:t>结论</w:t>
            </w:r>
          </w:p>
        </w:tc>
      </w:tr>
      <w:tr w14:paraId="3D73A5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1350" w:type="dxa"/>
            <w:tcBorders>
              <w:top w:val="nil" w:color="000000" w:sz="0" w:space="0"/>
              <w:left w:val="nil" w:color="000000" w:sz="0" w:space="0"/>
              <w:bottom w:val="nil" w:color="000000" w:sz="0" w:space="0"/>
              <w:right w:val="nil" w:color="000000" w:sz="0" w:space="0"/>
              <w:insideH w:val="nil" w:sz="0" w:space="0" w:color="000000"/>
              <w:insideV w:val="nil" w:sz="0" w:space="0" w:color="000000"/>
            </w:tcBorders>
            <w:tcMar>
              <w:top w:w="100" w:type="dxa"/>
              <w:left w:w="120" w:type="dxa"/>
              <w:bottom w:w="100" w:type="dxa"/>
              <w:right w:w="120" w:type="dxa"/>
            </w:tcMar>
            <w:vAlign w:val="center"/>
            <w:shd w:val="clear" w:color="auto" w:fill="FFFFFF"/>
          </w:tcPr>
          <w:p w14:paraId="00D70338">
            <w:pPr>
              <w:spacing w:after="0" w:line="360" w:lineRule="exact" w:before="0"/>
              <w:ind w:firstLine="0"/>
              <w:jc w:val="center"/>
              <w:rPr>
                <w:rFonts w:ascii="宋体" w:hAnsi="宋体" w:eastAsia="宋体"/>
                <w:b w:val="0"/>
                <w:i w:val="0"/>
                <w:sz w:val="16"/>
              </w:rPr>
            </w:pPr>
            <w:r>
              <w:rPr>
                <w:rFonts w:ascii="Times New Roman" w:hAnsi="Times New Roman" w:eastAsia="宋体" w:cs="Times New Roman"/>
                <w:b w:val="0"/>
                <w:i w:val="0"/>
                <w:sz w:val="21"/>
              </w:rPr>
              <w:t>1 图传</w:t>
            </w:r>
          </w:p>
        </w:tc>
        <w:tc>
          <w:tcPr>
            <w:tcW w:w="1750" w:type="dxa"/>
            <w:tcBorders>
              <w:top w:val="nil" w:color="000000" w:sz="0" w:space="0"/>
              <w:left w:val="nil" w:color="000000" w:sz="0" w:space="0"/>
              <w:bottom w:val="nil" w:color="000000" w:sz="0" w:space="0"/>
              <w:right w:val="nil" w:color="000000" w:sz="0" w:space="0"/>
              <w:insideH w:val="nil" w:sz="0" w:space="0" w:color="000000"/>
              <w:insideV w:val="nil" w:sz="0" w:space="0" w:color="000000"/>
            </w:tcBorders>
            <w:tcMar>
              <w:top w:w="100" w:type="dxa"/>
              <w:left w:w="120" w:type="dxa"/>
              <w:bottom w:w="100" w:type="dxa"/>
              <w:right w:w="120" w:type="dxa"/>
            </w:tcMar>
            <w:vAlign w:val="center"/>
            <w:shd w:val="clear" w:color="auto" w:fill="FFFFFF"/>
          </w:tcPr>
          <w:p w14:paraId="65FD6EA5">
            <w:pPr>
              <w:spacing w:after="0" w:line="360" w:lineRule="exact" w:before="0"/>
              <w:ind w:firstLine="0"/>
              <w:jc w:val="center"/>
              <w:rPr>
                <w:rFonts w:ascii="宋体" w:hAnsi="宋体" w:eastAsia="宋体"/>
                <w:b w:val="0"/>
                <w:i w:val="0"/>
                <w:sz w:val="16"/>
              </w:rPr>
            </w:pPr>
            <w:r>
              <w:rPr>
                <w:rFonts w:ascii="Times New Roman" w:hAnsi="Times New Roman" w:eastAsia="宋体" w:cs="Times New Roman"/>
                <w:b w:val="0"/>
                <w:i w:val="0"/>
                <w:sz w:val="21"/>
              </w:rPr>
              <w:t>实时显示、完整录像</w:t>
            </w:r>
          </w:p>
        </w:tc>
        <w:tc>
          <w:tcPr>
            <w:tcW w:w="900" w:type="dxa"/>
            <w:tcBorders>
              <w:top w:val="nil" w:color="000000" w:sz="0" w:space="0"/>
              <w:left w:val="nil" w:color="000000" w:sz="0" w:space="0"/>
              <w:bottom w:val="nil" w:color="000000" w:sz="0" w:space="0"/>
              <w:right w:val="nil" w:color="000000" w:sz="0" w:space="0"/>
              <w:insideH w:val="nil" w:sz="0" w:space="0" w:color="000000"/>
              <w:insideV w:val="nil" w:sz="0" w:space="0" w:color="000000"/>
            </w:tcBorders>
            <w:tcMar>
              <w:top w:w="100" w:type="dxa"/>
              <w:left w:w="120" w:type="dxa"/>
              <w:bottom w:w="100" w:type="dxa"/>
              <w:right w:w="120" w:type="dxa"/>
            </w:tcMar>
            <w:vAlign w:val="center"/>
            <w:shd w:val="clear" w:color="auto" w:fill="FFFFFF"/>
          </w:tcPr>
          <w:p w14:paraId="2C23CAF3">
            <w:pPr>
              <w:spacing w:after="0" w:line="360" w:lineRule="exact" w:before="0"/>
              <w:ind w:firstLine="0"/>
              <w:jc w:val="center"/>
              <w:rPr>
                <w:rFonts w:hint="eastAsia" w:ascii="宋体" w:hAnsi="宋体" w:eastAsia="宋体"/>
                <w:b w:val="0"/>
                <w:i w:val="0"/>
                <w:sz w:val="16"/>
                <w:lang w:val="en-US" w:eastAsia="zh-CN"/>
              </w:rPr>
            </w:pPr>
            <w:r>
              <w:rPr>
                <w:rFonts w:hint="eastAsia" w:ascii="Times New Roman" w:hAnsi="Times New Roman" w:eastAsia="宋体" w:cs="Times New Roman"/>
                <w:b w:val="0"/>
                <w:i w:val="0"/>
                <w:sz w:val="21"/>
                <w:lang w:val="en-US" w:eastAsia="zh-CN"/>
              </w:rPr>
              <w:t>成功</w:t>
            </w:r>
          </w:p>
        </w:tc>
        <w:tc>
          <w:tcPr>
            <w:tcW w:w="900" w:type="dxa"/>
            <w:tcBorders>
              <w:top w:val="nil" w:color="000000" w:sz="0" w:space="0"/>
              <w:left w:val="nil" w:color="000000" w:sz="0" w:space="0"/>
              <w:bottom w:val="nil" w:color="000000" w:sz="0" w:space="0"/>
              <w:right w:val="nil" w:color="000000" w:sz="0" w:space="0"/>
              <w:insideH w:val="nil" w:sz="0" w:space="0" w:color="000000"/>
              <w:insideV w:val="nil" w:sz="0" w:space="0" w:color="000000"/>
            </w:tcBorders>
            <w:tcMar>
              <w:top w:w="100" w:type="dxa"/>
              <w:left w:w="120" w:type="dxa"/>
              <w:bottom w:w="100" w:type="dxa"/>
              <w:right w:w="120" w:type="dxa"/>
            </w:tcMar>
            <w:vAlign w:val="center"/>
            <w:shd w:val="clear" w:color="auto" w:fill="FFFFFF"/>
          </w:tcPr>
          <w:p w14:paraId="2A4BAFF6">
            <w:pPr>
              <w:spacing w:after="0" w:line="360" w:lineRule="exact" w:before="0"/>
              <w:ind w:firstLine="0"/>
              <w:jc w:val="center"/>
              <w:rPr>
                <w:rFonts w:hint="eastAsia" w:ascii="宋体" w:hAnsi="宋体" w:eastAsia="宋体"/>
                <w:b w:val="0"/>
                <w:i w:val="0"/>
                <w:sz w:val="16"/>
                <w:lang w:val="en-US" w:eastAsia="zh-CN"/>
              </w:rPr>
            </w:pPr>
            <w:r>
              <w:rPr>
                <w:rFonts w:hint="eastAsia" w:ascii="Times New Roman" w:hAnsi="Times New Roman" w:eastAsia="宋体" w:cs="Times New Roman"/>
                <w:b w:val="0"/>
                <w:i w:val="0"/>
                <w:sz w:val="21"/>
                <w:lang w:val="en-US" w:eastAsia="zh-CN"/>
              </w:rPr>
              <w:t>成功</w:t>
            </w:r>
          </w:p>
        </w:tc>
        <w:tc>
          <w:tcPr>
            <w:tcW w:w="900" w:type="dxa"/>
            <w:tcBorders>
              <w:top w:val="nil" w:color="000000" w:sz="0" w:space="0"/>
              <w:left w:val="nil" w:color="000000" w:sz="0" w:space="0"/>
              <w:bottom w:val="nil" w:color="000000" w:sz="0" w:space="0"/>
              <w:right w:val="nil" w:color="000000" w:sz="0" w:space="0"/>
              <w:insideH w:val="nil" w:sz="0" w:space="0" w:color="000000"/>
              <w:insideV w:val="nil" w:sz="0" w:space="0" w:color="000000"/>
            </w:tcBorders>
            <w:tcMar>
              <w:top w:w="100" w:type="dxa"/>
              <w:left w:w="120" w:type="dxa"/>
              <w:bottom w:w="100" w:type="dxa"/>
              <w:right w:w="120" w:type="dxa"/>
            </w:tcMar>
            <w:vAlign w:val="center"/>
            <w:shd w:val="clear" w:color="auto" w:fill="FFFFFF"/>
          </w:tcPr>
          <w:p w14:paraId="4662A599">
            <w:pPr>
              <w:spacing w:after="0" w:line="360" w:lineRule="exact" w:before="0"/>
              <w:ind w:firstLine="0"/>
              <w:jc w:val="center"/>
              <w:rPr>
                <w:rFonts w:hint="eastAsia" w:ascii="宋体" w:hAnsi="宋体" w:eastAsia="宋体"/>
                <w:b w:val="0"/>
                <w:i w:val="0"/>
                <w:sz w:val="16"/>
                <w:lang w:val="en-US" w:eastAsia="zh-CN"/>
              </w:rPr>
            </w:pPr>
            <w:r>
              <w:rPr>
                <w:rFonts w:hint="eastAsia" w:ascii="Times New Roman" w:hAnsi="Times New Roman" w:eastAsia="宋体" w:cs="Times New Roman"/>
                <w:b w:val="0"/>
                <w:i w:val="0"/>
                <w:sz w:val="21"/>
                <w:lang w:val="en-US" w:eastAsia="zh-CN"/>
              </w:rPr>
              <w:t>成功</w:t>
            </w:r>
          </w:p>
        </w:tc>
        <w:tc>
          <w:tcPr>
            <w:tcW w:w="3271" w:type="dxa"/>
            <w:tcBorders>
              <w:top w:val="nil" w:color="000000" w:sz="0" w:space="0"/>
              <w:left w:val="nil" w:color="000000" w:sz="0" w:space="0"/>
              <w:bottom w:val="nil" w:color="000000" w:sz="0" w:space="0"/>
              <w:right w:val="nil" w:color="000000" w:sz="0" w:space="0"/>
              <w:insideH w:val="nil" w:sz="0" w:space="0" w:color="000000"/>
              <w:insideV w:val="nil" w:sz="0" w:space="0" w:color="000000"/>
            </w:tcBorders>
            <w:tcMar>
              <w:top w:w="100" w:type="dxa"/>
              <w:left w:w="120" w:type="dxa"/>
              <w:bottom w:w="100" w:type="dxa"/>
              <w:right w:w="120" w:type="dxa"/>
            </w:tcMar>
            <w:vAlign w:val="center"/>
            <w:shd w:val="clear" w:color="auto" w:fill="FFFFFF"/>
          </w:tcPr>
          <w:p w14:paraId="7D416B6E">
            <w:pPr>
              <w:spacing w:after="0" w:line="360" w:lineRule="exact" w:before="0"/>
              <w:ind w:firstLine="0"/>
              <w:jc w:val="center"/>
              <w:rPr>
                <w:rFonts w:hint="default" w:ascii="宋体" w:hAnsi="宋体" w:eastAsia="宋体"/>
                <w:b w:val="0"/>
                <w:i w:val="0"/>
                <w:sz w:val="16"/>
                <w:lang w:val="en-US" w:eastAsia="zh-CN"/>
              </w:rPr>
            </w:pPr>
            <w:r>
              <w:rPr>
                <w:rFonts w:hint="eastAsia" w:ascii="Times New Roman" w:hAnsi="Times New Roman" w:eastAsia="宋体" w:cs="Times New Roman"/>
                <w:b w:val="0"/>
                <w:i w:val="0"/>
                <w:sz w:val="21"/>
                <w:lang w:val="en-US" w:eastAsia="zh-CN"/>
              </w:rPr>
              <w:t>录像及回放准确无误</w:t>
            </w:r>
          </w:p>
        </w:tc>
      </w:tr>
      <w:tr w14:paraId="4ACC8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1350" w:type="dxa"/>
            <w:tcBorders>
              <w:top w:val="nil" w:color="000000" w:sz="0" w:space="0"/>
              <w:left w:val="nil" w:color="000000" w:sz="0" w:space="0"/>
              <w:bottom w:val="nil" w:color="000000" w:sz="0" w:space="0"/>
              <w:right w:val="nil" w:color="000000" w:sz="0" w:space="0"/>
              <w:insideH w:val="nil" w:sz="0" w:space="0" w:color="000000"/>
              <w:insideV w:val="nil" w:sz="0" w:space="0" w:color="000000"/>
            </w:tcBorders>
            <w:tcMar>
              <w:top w:w="100" w:type="dxa"/>
              <w:left w:w="120" w:type="dxa"/>
              <w:bottom w:w="100" w:type="dxa"/>
              <w:right w:w="120" w:type="dxa"/>
            </w:tcMar>
            <w:vAlign w:val="center"/>
            <w:shd w:val="clear" w:color="auto" w:fill="FFFFFF"/>
          </w:tcPr>
          <w:p w14:paraId="37F859F4">
            <w:pPr>
              <w:spacing w:after="0" w:line="360" w:lineRule="exact" w:before="0"/>
              <w:ind w:firstLine="0"/>
              <w:jc w:val="center"/>
              <w:rPr>
                <w:rFonts w:ascii="宋体" w:hAnsi="宋体" w:eastAsia="宋体"/>
                <w:b w:val="0"/>
                <w:i w:val="0"/>
                <w:sz w:val="16"/>
              </w:rPr>
            </w:pPr>
            <w:r>
              <w:rPr>
                <w:rFonts w:ascii="Times New Roman" w:hAnsi="Times New Roman" w:eastAsia="宋体" w:cs="Times New Roman"/>
                <w:b w:val="0"/>
                <w:i w:val="0"/>
                <w:sz w:val="21"/>
              </w:rPr>
              <w:t>2 一圈停车</w:t>
            </w:r>
          </w:p>
        </w:tc>
        <w:tc>
          <w:tcPr>
            <w:tcW w:w="1750" w:type="dxa"/>
            <w:tcBorders>
              <w:top w:val="nil" w:color="000000" w:sz="0" w:space="0"/>
              <w:left w:val="nil" w:color="000000" w:sz="0" w:space="0"/>
              <w:bottom w:val="nil" w:color="000000" w:sz="0" w:space="0"/>
              <w:right w:val="nil" w:color="000000" w:sz="0" w:space="0"/>
              <w:insideH w:val="nil" w:sz="0" w:space="0" w:color="000000"/>
              <w:insideV w:val="nil" w:sz="0" w:space="0" w:color="000000"/>
            </w:tcBorders>
            <w:tcMar>
              <w:top w:w="100" w:type="dxa"/>
              <w:left w:w="120" w:type="dxa"/>
              <w:bottom w:w="100" w:type="dxa"/>
              <w:right w:w="120" w:type="dxa"/>
            </w:tcMar>
            <w:vAlign w:val="center"/>
            <w:shd w:val="clear" w:color="auto" w:fill="FFFFFF"/>
          </w:tcPr>
          <w:p w14:paraId="012171FB">
            <w:pPr>
              <w:spacing w:after="0" w:line="360" w:lineRule="exact" w:before="0"/>
              <w:ind w:firstLine="0"/>
              <w:jc w:val="center"/>
              <w:rPr>
                <w:rFonts w:ascii="宋体" w:hAnsi="宋体" w:eastAsia="宋体"/>
                <w:b w:val="0"/>
                <w:i w:val="0"/>
                <w:sz w:val="16"/>
              </w:rPr>
            </w:pPr>
            <w:r>
              <w:rPr>
                <w:rFonts w:ascii="Times New Roman" w:hAnsi="Times New Roman" w:eastAsia="宋体" w:cs="Times New Roman"/>
                <w:b w:val="0"/>
                <w:i w:val="0"/>
                <w:sz w:val="21"/>
              </w:rPr>
              <w:t>≤20 s；偏差≤2 cm</w:t>
            </w:r>
          </w:p>
        </w:tc>
        <w:tc>
          <w:tcPr>
            <w:tcW w:w="900" w:type="dxa"/>
            <w:tcBorders>
              <w:top w:val="nil" w:color="000000" w:sz="0" w:space="0"/>
              <w:left w:val="nil" w:color="000000" w:sz="0" w:space="0"/>
              <w:bottom w:val="nil" w:color="000000" w:sz="0" w:space="0"/>
              <w:right w:val="nil" w:color="000000" w:sz="0" w:space="0"/>
              <w:insideH w:val="nil" w:sz="0" w:space="0" w:color="000000"/>
              <w:insideV w:val="nil" w:sz="0" w:space="0" w:color="000000"/>
            </w:tcBorders>
            <w:tcMar>
              <w:top w:w="100" w:type="dxa"/>
              <w:left w:w="120" w:type="dxa"/>
              <w:bottom w:w="100" w:type="dxa"/>
              <w:right w:w="120" w:type="dxa"/>
            </w:tcMar>
            <w:vAlign w:val="center"/>
            <w:shd w:val="clear" w:color="auto" w:fill="FFFFFF"/>
          </w:tcPr>
          <w:p w14:paraId="76A6D3AA">
            <w:pPr>
              <w:spacing w:after="0" w:line="360" w:lineRule="exact" w:before="0"/>
              <w:ind w:firstLine="0"/>
              <w:jc w:val="center"/>
              <w:rPr>
                <w:rFonts w:hint="default" w:ascii="宋体" w:hAnsi="宋体" w:eastAsia="宋体"/>
                <w:b w:val="0"/>
                <w:i w:val="0"/>
                <w:sz w:val="16"/>
                <w:lang w:val="en-US" w:eastAsia="zh-CN"/>
              </w:rPr>
            </w:pPr>
            <w:r>
              <w:rPr>
                <w:rFonts w:hint="eastAsia" w:ascii="Times New Roman" w:hAnsi="Times New Roman" w:eastAsia="宋体" w:cs="Times New Roman"/>
                <w:b w:val="0"/>
                <w:i w:val="0"/>
                <w:sz w:val="21"/>
                <w:lang w:val="en-US" w:eastAsia="zh-CN"/>
              </w:rPr>
              <w:t>18.8s</w:t>
            </w:r>
          </w:p>
        </w:tc>
        <w:tc>
          <w:tcPr>
            <w:tcW w:w="900" w:type="dxa"/>
            <w:tcBorders>
              <w:top w:val="nil" w:color="000000" w:sz="0" w:space="0"/>
              <w:left w:val="nil" w:color="000000" w:sz="0" w:space="0"/>
              <w:bottom w:val="nil" w:color="000000" w:sz="0" w:space="0"/>
              <w:right w:val="nil" w:color="000000" w:sz="0" w:space="0"/>
              <w:insideH w:val="nil" w:sz="0" w:space="0" w:color="000000"/>
              <w:insideV w:val="nil" w:sz="0" w:space="0" w:color="000000"/>
            </w:tcBorders>
            <w:tcMar>
              <w:top w:w="100" w:type="dxa"/>
              <w:left w:w="120" w:type="dxa"/>
              <w:bottom w:w="100" w:type="dxa"/>
              <w:right w:w="120" w:type="dxa"/>
            </w:tcMar>
            <w:vAlign w:val="center"/>
            <w:shd w:val="clear" w:color="auto" w:fill="FFFFFF"/>
          </w:tcPr>
          <w:p w14:paraId="1D6C5572">
            <w:pPr>
              <w:spacing w:after="0" w:line="360" w:lineRule="exact" w:before="0"/>
              <w:ind w:firstLine="0"/>
              <w:jc w:val="center"/>
              <w:rPr>
                <w:rFonts w:hint="default" w:ascii="宋体" w:hAnsi="宋体" w:eastAsia="宋体"/>
                <w:b w:val="0"/>
                <w:i w:val="0"/>
                <w:sz w:val="16"/>
                <w:lang w:val="en-US" w:eastAsia="zh-CN"/>
              </w:rPr>
            </w:pPr>
            <w:r>
              <w:rPr>
                <w:rFonts w:hint="eastAsia" w:ascii="Times New Roman" w:hAnsi="Times New Roman" w:eastAsia="宋体" w:cs="Times New Roman"/>
                <w:b w:val="0"/>
                <w:i w:val="0"/>
                <w:sz w:val="21"/>
                <w:lang w:val="en-US" w:eastAsia="zh-CN"/>
              </w:rPr>
              <w:t>18.3s</w:t>
            </w:r>
          </w:p>
        </w:tc>
        <w:tc>
          <w:tcPr>
            <w:tcW w:w="900" w:type="dxa"/>
            <w:tcBorders>
              <w:top w:val="nil" w:color="000000" w:sz="0" w:space="0"/>
              <w:left w:val="nil" w:color="000000" w:sz="0" w:space="0"/>
              <w:bottom w:val="nil" w:color="000000" w:sz="0" w:space="0"/>
              <w:right w:val="nil" w:color="000000" w:sz="0" w:space="0"/>
              <w:insideH w:val="nil" w:sz="0" w:space="0" w:color="000000"/>
              <w:insideV w:val="nil" w:sz="0" w:space="0" w:color="000000"/>
            </w:tcBorders>
            <w:tcMar>
              <w:top w:w="100" w:type="dxa"/>
              <w:left w:w="120" w:type="dxa"/>
              <w:bottom w:w="100" w:type="dxa"/>
              <w:right w:w="120" w:type="dxa"/>
            </w:tcMar>
            <w:vAlign w:val="center"/>
            <w:shd w:val="clear" w:color="auto" w:fill="FFFFFF"/>
          </w:tcPr>
          <w:p w14:paraId="2F8BC1D7">
            <w:pPr>
              <w:spacing w:after="0" w:line="360" w:lineRule="exact" w:before="0"/>
              <w:ind w:firstLine="0"/>
              <w:jc w:val="center"/>
              <w:rPr>
                <w:rFonts w:hint="default" w:ascii="宋体" w:hAnsi="宋体" w:eastAsia="宋体"/>
                <w:b w:val="0"/>
                <w:i w:val="0"/>
                <w:sz w:val="16"/>
                <w:lang w:val="en-US" w:eastAsia="zh-CN"/>
              </w:rPr>
            </w:pPr>
            <w:r>
              <w:rPr>
                <w:rFonts w:hint="eastAsia" w:ascii="Times New Roman" w:hAnsi="Times New Roman" w:eastAsia="宋体" w:cs="Times New Roman"/>
                <w:b w:val="0"/>
                <w:i w:val="0"/>
                <w:sz w:val="21"/>
                <w:lang w:val="en-US" w:eastAsia="zh-CN"/>
              </w:rPr>
              <w:t>19.1s</w:t>
            </w:r>
          </w:p>
        </w:tc>
        <w:tc>
          <w:tcPr>
            <w:tcW w:w="3271" w:type="dxa"/>
            <w:tcBorders>
              <w:top w:val="nil" w:color="000000" w:sz="0" w:space="0"/>
              <w:left w:val="nil" w:color="000000" w:sz="0" w:space="0"/>
              <w:bottom w:val="nil" w:color="000000" w:sz="0" w:space="0"/>
              <w:right w:val="nil" w:color="000000" w:sz="0" w:space="0"/>
              <w:insideH w:val="nil" w:sz="0" w:space="0" w:color="000000"/>
              <w:insideV w:val="nil" w:sz="0" w:space="0" w:color="000000"/>
            </w:tcBorders>
            <w:tcMar>
              <w:top w:w="100" w:type="dxa"/>
              <w:left w:w="120" w:type="dxa"/>
              <w:bottom w:w="100" w:type="dxa"/>
              <w:right w:w="120" w:type="dxa"/>
            </w:tcMar>
            <w:vAlign w:val="center"/>
            <w:shd w:val="clear" w:color="auto" w:fill="FFFFFF"/>
          </w:tcPr>
          <w:p w14:paraId="5A6D6F19">
            <w:pPr>
              <w:spacing w:after="0" w:line="360" w:lineRule="exact" w:before="0"/>
              <w:ind w:firstLine="0"/>
              <w:jc w:val="center"/>
              <w:rPr>
                <w:rFonts w:hint="eastAsia" w:ascii="宋体" w:hAnsi="宋体" w:eastAsia="宋体"/>
                <w:b w:val="0"/>
                <w:i w:val="0"/>
                <w:sz w:val="16"/>
                <w:lang w:val="en-US" w:eastAsia="zh-CN"/>
              </w:rPr>
            </w:pPr>
            <w:r>
              <w:rPr>
                <w:rFonts w:hint="eastAsia" w:ascii="Times New Roman" w:hAnsi="Times New Roman" w:eastAsia="宋体" w:cs="Times New Roman"/>
                <w:b w:val="0"/>
                <w:i w:val="0"/>
                <w:sz w:val="21"/>
                <w:lang w:val="en-US" w:eastAsia="zh-CN"/>
              </w:rPr>
              <w:t>可正常巡线停车</w:t>
            </w:r>
          </w:p>
        </w:tc>
      </w:tr>
      <w:tr w14:paraId="46E2E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1350" w:type="dxa"/>
            <w:tcBorders>
              <w:top w:val="nil" w:color="000000" w:sz="0" w:space="0"/>
              <w:left w:val="nil" w:color="000000" w:sz="0" w:space="0"/>
              <w:bottom w:val="nil" w:color="000000" w:sz="0" w:space="0"/>
              <w:right w:val="nil" w:color="000000" w:sz="0" w:space="0"/>
              <w:insideH w:val="nil" w:sz="0" w:space="0" w:color="000000"/>
              <w:insideV w:val="nil" w:sz="0" w:space="0" w:color="000000"/>
            </w:tcBorders>
            <w:tcMar>
              <w:top w:w="100" w:type="dxa"/>
              <w:left w:w="120" w:type="dxa"/>
              <w:bottom w:w="100" w:type="dxa"/>
              <w:right w:w="120" w:type="dxa"/>
            </w:tcMar>
            <w:vAlign w:val="center"/>
            <w:shd w:val="clear" w:color="auto" w:fill="FFFFFF"/>
          </w:tcPr>
          <w:p w14:paraId="3225F9D8">
            <w:pPr>
              <w:spacing w:after="0" w:line="360" w:lineRule="exact" w:before="0"/>
              <w:ind w:firstLine="0"/>
              <w:jc w:val="center"/>
              <w:rPr>
                <w:rFonts w:ascii="宋体" w:hAnsi="宋体" w:eastAsia="宋体"/>
                <w:b w:val="0"/>
                <w:i w:val="0"/>
                <w:sz w:val="16"/>
              </w:rPr>
            </w:pPr>
            <w:r>
              <w:rPr>
                <w:rFonts w:ascii="Times New Roman" w:hAnsi="Times New Roman" w:eastAsia="宋体" w:cs="Times New Roman"/>
                <w:b w:val="0"/>
                <w:i w:val="0"/>
                <w:sz w:val="21"/>
              </w:rPr>
              <w:t>3 静态 ±5 cm</w:t>
            </w:r>
          </w:p>
        </w:tc>
        <w:tc>
          <w:tcPr>
            <w:tcW w:w="1750" w:type="dxa"/>
            <w:tcBorders>
              <w:top w:val="nil" w:color="000000" w:sz="0" w:space="0"/>
              <w:left w:val="nil" w:color="000000" w:sz="0" w:space="0"/>
              <w:bottom w:val="nil" w:color="000000" w:sz="0" w:space="0"/>
              <w:right w:val="nil" w:color="000000" w:sz="0" w:space="0"/>
              <w:insideH w:val="nil" w:sz="0" w:space="0" w:color="000000"/>
              <w:insideV w:val="nil" w:sz="0" w:space="0" w:color="000000"/>
            </w:tcBorders>
            <w:tcMar>
              <w:top w:w="100" w:type="dxa"/>
              <w:left w:w="120" w:type="dxa"/>
              <w:bottom w:w="100" w:type="dxa"/>
              <w:right w:w="120" w:type="dxa"/>
            </w:tcMar>
            <w:vAlign w:val="center"/>
            <w:shd w:val="clear" w:color="auto" w:fill="FFFFFF"/>
          </w:tcPr>
          <w:p w14:paraId="50E39F8A">
            <w:pPr>
              <w:spacing w:after="0" w:line="360" w:lineRule="exact" w:before="0"/>
              <w:ind w:firstLine="0"/>
              <w:jc w:val="center"/>
              <w:rPr>
                <w:rFonts w:ascii="宋体" w:hAnsi="宋体" w:eastAsia="宋体"/>
                <w:b w:val="0"/>
                <w:i w:val="0"/>
                <w:sz w:val="16"/>
              </w:rPr>
            </w:pPr>
            <w:r>
              <w:rPr>
                <w:rFonts w:ascii="Times New Roman" w:hAnsi="Times New Roman" w:eastAsia="宋体" w:cs="Times New Roman"/>
                <w:b w:val="0"/>
                <w:i w:val="0"/>
                <w:sz w:val="21"/>
              </w:rPr>
              <w:t>&lt;5 s；误差≤1 cm</w:t>
            </w:r>
          </w:p>
        </w:tc>
        <w:tc>
          <w:tcPr>
            <w:tcW w:w="900" w:type="dxa"/>
            <w:tcBorders>
              <w:top w:val="nil" w:color="000000" w:sz="0" w:space="0"/>
              <w:left w:val="nil" w:color="000000" w:sz="0" w:space="0"/>
              <w:bottom w:val="nil" w:color="000000" w:sz="0" w:space="0"/>
              <w:right w:val="nil" w:color="000000" w:sz="0" w:space="0"/>
              <w:insideH w:val="nil" w:sz="0" w:space="0" w:color="000000"/>
              <w:insideV w:val="nil" w:sz="0" w:space="0" w:color="000000"/>
            </w:tcBorders>
            <w:tcMar>
              <w:top w:w="100" w:type="dxa"/>
              <w:left w:w="120" w:type="dxa"/>
              <w:bottom w:w="100" w:type="dxa"/>
              <w:right w:w="120" w:type="dxa"/>
            </w:tcMar>
            <w:vAlign w:val="center"/>
            <w:shd w:val="clear" w:color="auto" w:fill="FFFFFF"/>
          </w:tcPr>
          <w:p w14:paraId="50F83C1D">
            <w:pPr>
              <w:spacing w:after="0" w:line="360" w:lineRule="exact" w:before="0"/>
              <w:ind w:firstLine="0"/>
              <w:jc w:val="center"/>
              <w:rPr>
                <w:rFonts w:hint="default" w:ascii="宋体" w:hAnsi="宋体" w:eastAsia="宋体"/>
                <w:b w:val="0"/>
                <w:i w:val="0"/>
                <w:sz w:val="16"/>
                <w:lang w:val="en-US" w:eastAsia="zh-CN"/>
              </w:rPr>
            </w:pPr>
            <w:r>
              <w:rPr>
                <w:rFonts w:hint="eastAsia" w:ascii="Times New Roman" w:hAnsi="Times New Roman" w:eastAsia="宋体" w:cs="Times New Roman"/>
                <w:b w:val="0"/>
                <w:i w:val="0"/>
                <w:sz w:val="21"/>
                <w:lang w:val="en-US" w:eastAsia="zh-CN"/>
              </w:rPr>
              <w:t>4.51s</w:t>
            </w:r>
          </w:p>
        </w:tc>
        <w:tc>
          <w:tcPr>
            <w:tcW w:w="900" w:type="dxa"/>
            <w:tcBorders>
              <w:top w:val="nil" w:color="000000" w:sz="0" w:space="0"/>
              <w:left w:val="nil" w:color="000000" w:sz="0" w:space="0"/>
              <w:bottom w:val="nil" w:color="000000" w:sz="0" w:space="0"/>
              <w:right w:val="nil" w:color="000000" w:sz="0" w:space="0"/>
              <w:insideH w:val="nil" w:sz="0" w:space="0" w:color="000000"/>
              <w:insideV w:val="nil" w:sz="0" w:space="0" w:color="000000"/>
            </w:tcBorders>
            <w:tcMar>
              <w:top w:w="100" w:type="dxa"/>
              <w:left w:w="120" w:type="dxa"/>
              <w:bottom w:w="100" w:type="dxa"/>
              <w:right w:w="120" w:type="dxa"/>
            </w:tcMar>
            <w:vAlign w:val="center"/>
            <w:shd w:val="clear" w:color="auto" w:fill="FFFFFF"/>
          </w:tcPr>
          <w:p w14:paraId="04983E64">
            <w:pPr>
              <w:spacing w:after="0" w:line="360" w:lineRule="exact" w:before="0"/>
              <w:ind w:firstLine="0"/>
              <w:jc w:val="center"/>
              <w:rPr>
                <w:rFonts w:hint="default" w:ascii="宋体" w:hAnsi="宋体" w:eastAsia="宋体"/>
                <w:b w:val="0"/>
                <w:i w:val="0"/>
                <w:sz w:val="16"/>
                <w:lang w:val="en-US" w:eastAsia="zh-CN"/>
              </w:rPr>
            </w:pPr>
            <w:r>
              <w:rPr>
                <w:rFonts w:hint="eastAsia" w:ascii="Times New Roman" w:hAnsi="Times New Roman" w:eastAsia="宋体" w:cs="Times New Roman"/>
                <w:b w:val="0"/>
                <w:i w:val="0"/>
                <w:sz w:val="21"/>
                <w:lang w:val="en-US" w:eastAsia="zh-CN"/>
              </w:rPr>
              <w:t>4.45s</w:t>
            </w:r>
          </w:p>
        </w:tc>
        <w:tc>
          <w:tcPr>
            <w:tcW w:w="900" w:type="dxa"/>
            <w:tcBorders>
              <w:top w:val="nil" w:color="000000" w:sz="0" w:space="0"/>
              <w:left w:val="nil" w:color="000000" w:sz="0" w:space="0"/>
              <w:bottom w:val="nil" w:color="000000" w:sz="0" w:space="0"/>
              <w:right w:val="nil" w:color="000000" w:sz="0" w:space="0"/>
              <w:insideH w:val="nil" w:sz="0" w:space="0" w:color="000000"/>
              <w:insideV w:val="nil" w:sz="0" w:space="0" w:color="000000"/>
            </w:tcBorders>
            <w:tcMar>
              <w:top w:w="100" w:type="dxa"/>
              <w:left w:w="120" w:type="dxa"/>
              <w:bottom w:w="100" w:type="dxa"/>
              <w:right w:w="120" w:type="dxa"/>
            </w:tcMar>
            <w:vAlign w:val="center"/>
            <w:shd w:val="clear" w:color="auto" w:fill="FFFFFF"/>
          </w:tcPr>
          <w:p w14:paraId="6172D74D">
            <w:pPr>
              <w:spacing w:after="0" w:line="360" w:lineRule="exact" w:before="0"/>
              <w:ind w:firstLine="0"/>
              <w:jc w:val="center"/>
              <w:rPr>
                <w:rFonts w:hint="default" w:ascii="宋体" w:hAnsi="宋体" w:eastAsia="宋体"/>
                <w:b w:val="0"/>
                <w:i w:val="0"/>
                <w:sz w:val="16"/>
                <w:lang w:val="en-US" w:eastAsia="zh-CN"/>
              </w:rPr>
            </w:pPr>
            <w:r>
              <w:rPr>
                <w:rFonts w:hint="eastAsia" w:ascii="Times New Roman" w:hAnsi="Times New Roman" w:eastAsia="宋体" w:cs="Times New Roman"/>
                <w:b w:val="0"/>
                <w:i w:val="0"/>
                <w:sz w:val="21"/>
                <w:lang w:val="en-US" w:eastAsia="zh-CN"/>
              </w:rPr>
              <w:t>4.12s</w:t>
            </w:r>
          </w:p>
        </w:tc>
        <w:tc>
          <w:tcPr>
            <w:tcW w:w="3271" w:type="dxa"/>
            <w:tcBorders>
              <w:top w:val="nil" w:color="000000" w:sz="0" w:space="0"/>
              <w:left w:val="nil" w:color="000000" w:sz="0" w:space="0"/>
              <w:bottom w:val="nil" w:color="000000" w:sz="0" w:space="0"/>
              <w:right w:val="nil" w:color="000000" w:sz="0" w:space="0"/>
              <w:insideH w:val="nil" w:sz="0" w:space="0" w:color="000000"/>
              <w:insideV w:val="nil" w:sz="0" w:space="0" w:color="000000"/>
            </w:tcBorders>
            <w:tcMar>
              <w:top w:w="100" w:type="dxa"/>
              <w:left w:w="120" w:type="dxa"/>
              <w:bottom w:w="100" w:type="dxa"/>
              <w:right w:w="120" w:type="dxa"/>
            </w:tcMar>
            <w:vAlign w:val="center"/>
            <w:shd w:val="clear" w:color="auto" w:fill="FFFFFF"/>
          </w:tcPr>
          <w:p w14:paraId="30E87B4B">
            <w:pPr>
              <w:spacing w:after="0" w:line="360" w:lineRule="exact" w:before="0"/>
              <w:ind w:firstLine="0"/>
              <w:jc w:val="center"/>
              <w:rPr>
                <w:rFonts w:hint="default" w:ascii="宋体" w:hAnsi="宋体" w:eastAsia="宋体"/>
                <w:b w:val="0"/>
                <w:i w:val="0"/>
                <w:sz w:val="16"/>
                <w:lang w:val="en-US" w:eastAsia="zh-CN"/>
              </w:rPr>
            </w:pPr>
            <w:r>
              <w:rPr>
                <w:rFonts w:hint="eastAsia" w:ascii="Times New Roman" w:hAnsi="Times New Roman" w:eastAsia="宋体" w:cs="Times New Roman"/>
                <w:b w:val="0"/>
                <w:i w:val="0"/>
                <w:sz w:val="21"/>
                <w:lang w:val="en-US" w:eastAsia="zh-CN"/>
              </w:rPr>
              <w:t>可正常稳定钢珠</w:t>
            </w:r>
          </w:p>
        </w:tc>
      </w:tr>
      <w:tr w14:paraId="12878D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1350" w:type="dxa"/>
            <w:tcBorders>
              <w:top w:val="nil" w:color="000000" w:sz="0" w:space="0"/>
              <w:left w:val="nil" w:color="000000" w:sz="0" w:space="0"/>
              <w:bottom w:val="nil" w:color="000000" w:sz="0" w:space="0"/>
              <w:right w:val="nil" w:color="000000" w:sz="0" w:space="0"/>
              <w:insideH w:val="nil" w:sz="0" w:space="0" w:color="000000"/>
              <w:insideV w:val="nil" w:sz="0" w:space="0" w:color="000000"/>
            </w:tcBorders>
            <w:tcMar>
              <w:top w:w="100" w:type="dxa"/>
              <w:left w:w="120" w:type="dxa"/>
              <w:bottom w:w="100" w:type="dxa"/>
              <w:right w:w="120" w:type="dxa"/>
            </w:tcMar>
            <w:vAlign w:val="center"/>
            <w:shd w:val="clear" w:color="auto" w:fill="FFFFFF"/>
          </w:tcPr>
          <w:p w14:paraId="4C897E72">
            <w:pPr>
              <w:spacing w:after="0" w:line="360" w:lineRule="exact" w:before="0"/>
              <w:ind w:firstLine="0"/>
              <w:jc w:val="center"/>
              <w:rPr>
                <w:rFonts w:ascii="宋体" w:hAnsi="宋体" w:eastAsia="宋体"/>
                <w:b w:val="0"/>
                <w:i w:val="0"/>
                <w:sz w:val="16"/>
              </w:rPr>
            </w:pPr>
            <w:r>
              <w:rPr>
                <w:rFonts w:ascii="Times New Roman" w:hAnsi="Times New Roman" w:eastAsia="宋体" w:cs="Times New Roman"/>
                <w:b w:val="0"/>
                <w:i w:val="0"/>
                <w:sz w:val="21"/>
              </w:rPr>
              <w:t>4 A 到 B</w:t>
            </w:r>
          </w:p>
        </w:tc>
        <w:tc>
          <w:tcPr>
            <w:tcW w:w="1750" w:type="dxa"/>
            <w:tcBorders>
              <w:top w:val="nil" w:color="000000" w:sz="0" w:space="0"/>
              <w:left w:val="nil" w:color="000000" w:sz="0" w:space="0"/>
              <w:bottom w:val="nil" w:color="000000" w:sz="0" w:space="0"/>
              <w:right w:val="nil" w:color="000000" w:sz="0" w:space="0"/>
              <w:insideH w:val="nil" w:sz="0" w:space="0" w:color="000000"/>
              <w:insideV w:val="nil" w:sz="0" w:space="0" w:color="000000"/>
            </w:tcBorders>
            <w:tcMar>
              <w:top w:w="100" w:type="dxa"/>
              <w:left w:w="120" w:type="dxa"/>
              <w:bottom w:w="100" w:type="dxa"/>
              <w:right w:w="120" w:type="dxa"/>
            </w:tcMar>
            <w:vAlign w:val="center"/>
            <w:shd w:val="clear" w:color="auto" w:fill="FFFFFF"/>
          </w:tcPr>
          <w:p w14:paraId="0AD74957">
            <w:pPr>
              <w:spacing w:after="0" w:line="360" w:lineRule="exact" w:before="0"/>
              <w:ind w:firstLine="0"/>
              <w:jc w:val="center"/>
              <w:rPr>
                <w:rFonts w:ascii="宋体" w:hAnsi="宋体" w:eastAsia="宋体"/>
                <w:b w:val="0"/>
                <w:i w:val="0"/>
                <w:sz w:val="16"/>
              </w:rPr>
            </w:pPr>
            <w:r>
              <w:rPr>
                <w:rFonts w:ascii="Times New Roman" w:hAnsi="Times New Roman" w:eastAsia="宋体" w:cs="Times New Roman"/>
                <w:b w:val="0"/>
                <w:i w:val="0"/>
                <w:sz w:val="21"/>
              </w:rPr>
              <w:t>≤8 s；中心误差≤1 cm</w:t>
            </w:r>
          </w:p>
        </w:tc>
        <w:tc>
          <w:tcPr>
            <w:tcW w:w="900" w:type="dxa"/>
            <w:tcBorders>
              <w:top w:val="nil" w:color="000000" w:sz="0" w:space="0"/>
              <w:left w:val="nil" w:color="000000" w:sz="0" w:space="0"/>
              <w:bottom w:val="nil" w:color="000000" w:sz="0" w:space="0"/>
              <w:right w:val="nil" w:color="000000" w:sz="0" w:space="0"/>
              <w:insideH w:val="nil" w:sz="0" w:space="0" w:color="000000"/>
              <w:insideV w:val="nil" w:sz="0" w:space="0" w:color="000000"/>
            </w:tcBorders>
            <w:tcMar>
              <w:top w:w="100" w:type="dxa"/>
              <w:left w:w="120" w:type="dxa"/>
              <w:bottom w:w="100" w:type="dxa"/>
              <w:right w:w="120" w:type="dxa"/>
            </w:tcMar>
            <w:vAlign w:val="center"/>
            <w:shd w:val="clear" w:color="auto" w:fill="FFFFFF"/>
          </w:tcPr>
          <w:p w14:paraId="38E383C8">
            <w:pPr>
              <w:spacing w:after="0" w:line="360" w:lineRule="exact" w:before="0"/>
              <w:ind w:firstLine="0"/>
              <w:jc w:val="center"/>
              <w:rPr>
                <w:rFonts w:hint="default" w:ascii="宋体" w:hAnsi="宋体" w:eastAsia="宋体"/>
                <w:b w:val="0"/>
                <w:i w:val="0"/>
                <w:sz w:val="16"/>
                <w:lang w:val="en-US" w:eastAsia="zh-CN"/>
              </w:rPr>
            </w:pPr>
            <w:r>
              <w:rPr>
                <w:rFonts w:hint="eastAsia" w:ascii="Times New Roman" w:hAnsi="Times New Roman" w:eastAsia="宋体" w:cs="Times New Roman"/>
                <w:b w:val="0"/>
                <w:i w:val="0"/>
                <w:sz w:val="21"/>
                <w:lang w:val="en-US" w:eastAsia="zh-CN"/>
              </w:rPr>
              <w:t>7.1s</w:t>
            </w:r>
          </w:p>
        </w:tc>
        <w:tc>
          <w:tcPr>
            <w:tcW w:w="900" w:type="dxa"/>
            <w:tcBorders>
              <w:top w:val="nil" w:color="000000" w:sz="0" w:space="0"/>
              <w:left w:val="nil" w:color="000000" w:sz="0" w:space="0"/>
              <w:bottom w:val="nil" w:color="000000" w:sz="0" w:space="0"/>
              <w:right w:val="nil" w:color="000000" w:sz="0" w:space="0"/>
              <w:insideH w:val="nil" w:sz="0" w:space="0" w:color="000000"/>
              <w:insideV w:val="nil" w:sz="0" w:space="0" w:color="000000"/>
            </w:tcBorders>
            <w:tcMar>
              <w:top w:w="100" w:type="dxa"/>
              <w:left w:w="120" w:type="dxa"/>
              <w:bottom w:w="100" w:type="dxa"/>
              <w:right w:w="120" w:type="dxa"/>
            </w:tcMar>
            <w:vAlign w:val="center"/>
            <w:shd w:val="clear" w:color="auto" w:fill="FFFFFF"/>
          </w:tcPr>
          <w:p w14:paraId="26D1A599">
            <w:pPr>
              <w:spacing w:after="0" w:line="360" w:lineRule="exact" w:before="0"/>
              <w:ind w:firstLine="0"/>
              <w:jc w:val="center"/>
              <w:rPr>
                <w:rFonts w:hint="default" w:ascii="宋体" w:hAnsi="宋体" w:eastAsia="宋体"/>
                <w:b w:val="0"/>
                <w:i w:val="0"/>
                <w:sz w:val="16"/>
                <w:lang w:val="en-US" w:eastAsia="zh-CN"/>
              </w:rPr>
            </w:pPr>
            <w:r>
              <w:rPr>
                <w:rFonts w:hint="eastAsia" w:ascii="Times New Roman" w:hAnsi="Times New Roman" w:eastAsia="宋体" w:cs="Times New Roman"/>
                <w:b w:val="0"/>
                <w:i w:val="0"/>
                <w:sz w:val="21"/>
                <w:lang w:val="en-US" w:eastAsia="zh-CN"/>
              </w:rPr>
              <w:t>6.3s</w:t>
            </w:r>
          </w:p>
        </w:tc>
        <w:tc>
          <w:tcPr>
            <w:tcW w:w="900" w:type="dxa"/>
            <w:tcBorders>
              <w:top w:val="nil" w:color="000000" w:sz="0" w:space="0"/>
              <w:left w:val="nil" w:color="000000" w:sz="0" w:space="0"/>
              <w:bottom w:val="nil" w:color="000000" w:sz="0" w:space="0"/>
              <w:right w:val="nil" w:color="000000" w:sz="0" w:space="0"/>
              <w:insideH w:val="nil" w:sz="0" w:space="0" w:color="000000"/>
              <w:insideV w:val="nil" w:sz="0" w:space="0" w:color="000000"/>
            </w:tcBorders>
            <w:tcMar>
              <w:top w:w="100" w:type="dxa"/>
              <w:left w:w="120" w:type="dxa"/>
              <w:bottom w:w="100" w:type="dxa"/>
              <w:right w:w="120" w:type="dxa"/>
            </w:tcMar>
            <w:vAlign w:val="center"/>
            <w:shd w:val="clear" w:color="auto" w:fill="FFFFFF"/>
          </w:tcPr>
          <w:p w14:paraId="27D7DDF0">
            <w:pPr>
              <w:spacing w:after="0" w:line="360" w:lineRule="exact" w:before="0"/>
              <w:ind w:firstLine="0"/>
              <w:jc w:val="center"/>
              <w:rPr>
                <w:rFonts w:hint="default" w:ascii="宋体" w:hAnsi="宋体" w:eastAsia="宋体"/>
                <w:b w:val="0"/>
                <w:i w:val="0"/>
                <w:sz w:val="16"/>
                <w:lang w:val="en-US" w:eastAsia="zh-CN"/>
              </w:rPr>
            </w:pPr>
            <w:r>
              <w:rPr>
                <w:rFonts w:hint="eastAsia" w:ascii="Times New Roman" w:hAnsi="Times New Roman" w:eastAsia="宋体" w:cs="Times New Roman"/>
                <w:b w:val="0"/>
                <w:i w:val="0"/>
                <w:sz w:val="21"/>
                <w:lang w:val="en-US" w:eastAsia="zh-CN"/>
              </w:rPr>
              <w:t>6.5s</w:t>
            </w:r>
          </w:p>
        </w:tc>
        <w:tc>
          <w:tcPr>
            <w:tcW w:w="3271" w:type="dxa"/>
            <w:tcBorders>
              <w:top w:val="nil" w:color="000000" w:sz="0" w:space="0"/>
              <w:left w:val="nil" w:color="000000" w:sz="0" w:space="0"/>
              <w:bottom w:val="nil" w:color="000000" w:sz="0" w:space="0"/>
              <w:right w:val="nil" w:color="000000" w:sz="0" w:space="0"/>
              <w:insideH w:val="nil" w:sz="0" w:space="0" w:color="000000"/>
              <w:insideV w:val="nil" w:sz="0" w:space="0" w:color="000000"/>
            </w:tcBorders>
            <w:tcMar>
              <w:top w:w="100" w:type="dxa"/>
              <w:left w:w="120" w:type="dxa"/>
              <w:bottom w:w="100" w:type="dxa"/>
              <w:right w:w="120" w:type="dxa"/>
            </w:tcMar>
            <w:vAlign w:val="center"/>
            <w:shd w:val="clear" w:color="auto" w:fill="FFFFFF"/>
          </w:tcPr>
          <w:p w14:paraId="23937AF3">
            <w:pPr>
              <w:spacing w:after="0" w:line="360" w:lineRule="exact" w:before="0"/>
              <w:ind w:firstLine="0"/>
              <w:jc w:val="center"/>
              <w:rPr>
                <w:rFonts w:hint="default" w:ascii="宋体" w:hAnsi="宋体" w:eastAsia="宋体"/>
                <w:b w:val="0"/>
                <w:i w:val="0"/>
                <w:sz w:val="16"/>
                <w:lang w:val="en-US" w:eastAsia="zh-CN"/>
              </w:rPr>
            </w:pPr>
            <w:r>
              <w:rPr>
                <w:rFonts w:hint="eastAsia" w:ascii="Times New Roman" w:hAnsi="Times New Roman" w:eastAsia="宋体" w:cs="Times New Roman"/>
                <w:b w:val="0"/>
                <w:i w:val="0"/>
                <w:sz w:val="21"/>
                <w:lang w:val="en-US" w:eastAsia="zh-CN"/>
              </w:rPr>
              <w:t>在维持钢珠稳定的情况下可正常巡线</w:t>
            </w:r>
          </w:p>
        </w:tc>
      </w:tr>
      <w:tr w14:paraId="660E6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1350" w:type="dxa"/>
            <w:tcBorders>
              <w:top w:val="nil" w:color="000000" w:sz="0" w:space="0"/>
              <w:left w:val="nil" w:color="000000" w:sz="0" w:space="0"/>
              <w:bottom w:val="nil" w:color="000000" w:sz="0" w:space="0"/>
              <w:right w:val="nil" w:color="000000" w:sz="0" w:space="0"/>
              <w:insideH w:val="nil" w:sz="0" w:space="0" w:color="000000"/>
              <w:insideV w:val="nil" w:sz="0" w:space="0" w:color="000000"/>
            </w:tcBorders>
            <w:tcMar>
              <w:top w:w="100" w:type="dxa"/>
              <w:left w:w="120" w:type="dxa"/>
              <w:bottom w:w="100" w:type="dxa"/>
              <w:right w:w="120" w:type="dxa"/>
            </w:tcMar>
            <w:vAlign w:val="center"/>
            <w:shd w:val="clear" w:color="auto" w:fill="FFFFFF"/>
          </w:tcPr>
          <w:p w14:paraId="7BC0C9F4">
            <w:pPr>
              <w:spacing w:after="0" w:line="360" w:lineRule="exact" w:before="0"/>
              <w:ind w:firstLine="0"/>
              <w:jc w:val="center"/>
              <w:rPr>
                <w:rFonts w:ascii="宋体" w:hAnsi="宋体" w:eastAsia="宋体"/>
                <w:b w:val="0"/>
                <w:i w:val="0"/>
                <w:sz w:val="16"/>
              </w:rPr>
            </w:pPr>
            <w:r>
              <w:rPr>
                <w:rFonts w:ascii="Times New Roman" w:hAnsi="Times New Roman" w:eastAsia="宋体" w:cs="Times New Roman"/>
                <w:b w:val="0"/>
                <w:i w:val="0"/>
                <w:sz w:val="21"/>
              </w:rPr>
              <w:t>5 一圈中心</w:t>
            </w:r>
          </w:p>
        </w:tc>
        <w:tc>
          <w:tcPr>
            <w:tcW w:w="1750" w:type="dxa"/>
            <w:tcBorders>
              <w:top w:val="nil" w:color="000000" w:sz="0" w:space="0"/>
              <w:left w:val="nil" w:color="000000" w:sz="0" w:space="0"/>
              <w:bottom w:val="nil" w:color="000000" w:sz="0" w:space="0"/>
              <w:right w:val="nil" w:color="000000" w:sz="0" w:space="0"/>
              <w:insideH w:val="nil" w:sz="0" w:space="0" w:color="000000"/>
              <w:insideV w:val="nil" w:sz="0" w:space="0" w:color="000000"/>
            </w:tcBorders>
            <w:tcMar>
              <w:top w:w="100" w:type="dxa"/>
              <w:left w:w="120" w:type="dxa"/>
              <w:bottom w:w="100" w:type="dxa"/>
              <w:right w:w="120" w:type="dxa"/>
            </w:tcMar>
            <w:vAlign w:val="center"/>
            <w:shd w:val="clear" w:color="auto" w:fill="FFFFFF"/>
          </w:tcPr>
          <w:p w14:paraId="655722F3">
            <w:pPr>
              <w:spacing w:after="0" w:line="360" w:lineRule="exact" w:before="0"/>
              <w:ind w:firstLine="0"/>
              <w:jc w:val="center"/>
              <w:rPr>
                <w:rFonts w:ascii="宋体" w:hAnsi="宋体" w:eastAsia="宋体"/>
                <w:b w:val="0"/>
                <w:i w:val="0"/>
                <w:sz w:val="16"/>
              </w:rPr>
            </w:pPr>
            <w:r>
              <w:rPr>
                <w:rFonts w:ascii="Times New Roman" w:hAnsi="Times New Roman" w:eastAsia="宋体" w:cs="Times New Roman"/>
                <w:b w:val="0"/>
                <w:i w:val="0"/>
                <w:sz w:val="21"/>
              </w:rPr>
              <w:t>≤30 s；中心误差≤1 cm</w:t>
            </w:r>
          </w:p>
        </w:tc>
        <w:tc>
          <w:tcPr>
            <w:tcW w:w="900" w:type="dxa"/>
            <w:tcBorders>
              <w:top w:val="nil" w:color="000000" w:sz="0" w:space="0"/>
              <w:left w:val="nil" w:color="000000" w:sz="0" w:space="0"/>
              <w:bottom w:val="nil" w:color="000000" w:sz="0" w:space="0"/>
              <w:right w:val="nil" w:color="000000" w:sz="0" w:space="0"/>
              <w:insideH w:val="nil" w:sz="0" w:space="0" w:color="000000"/>
              <w:insideV w:val="nil" w:sz="0" w:space="0" w:color="000000"/>
            </w:tcBorders>
            <w:tcMar>
              <w:top w:w="100" w:type="dxa"/>
              <w:left w:w="120" w:type="dxa"/>
              <w:bottom w:w="100" w:type="dxa"/>
              <w:right w:w="120" w:type="dxa"/>
            </w:tcMar>
            <w:vAlign w:val="center"/>
            <w:shd w:val="clear" w:color="auto" w:fill="FFFFFF"/>
          </w:tcPr>
          <w:p w14:paraId="1125AAD8">
            <w:pPr>
              <w:spacing w:after="0" w:line="360" w:lineRule="exact" w:before="0"/>
              <w:ind w:firstLine="0"/>
              <w:jc w:val="center"/>
              <w:rPr>
                <w:rFonts w:hint="default" w:ascii="宋体" w:hAnsi="宋体" w:eastAsia="宋体"/>
                <w:b w:val="0"/>
                <w:i w:val="0"/>
                <w:sz w:val="16"/>
                <w:lang w:val="en-US" w:eastAsia="zh-CN"/>
              </w:rPr>
            </w:pPr>
            <w:r>
              <w:rPr>
                <w:rFonts w:hint="eastAsia" w:ascii="Times New Roman" w:hAnsi="Times New Roman" w:eastAsia="宋体" w:cs="Times New Roman"/>
                <w:b w:val="0"/>
                <w:i w:val="0"/>
                <w:sz w:val="21"/>
                <w:lang w:val="en-US" w:eastAsia="zh-CN"/>
              </w:rPr>
              <w:t>24.3s</w:t>
            </w:r>
          </w:p>
        </w:tc>
        <w:tc>
          <w:tcPr>
            <w:tcW w:w="900" w:type="dxa"/>
            <w:tcBorders>
              <w:top w:val="nil" w:color="000000" w:sz="0" w:space="0"/>
              <w:left w:val="nil" w:color="000000" w:sz="0" w:space="0"/>
              <w:bottom w:val="nil" w:color="000000" w:sz="0" w:space="0"/>
              <w:right w:val="nil" w:color="000000" w:sz="0" w:space="0"/>
              <w:insideH w:val="nil" w:sz="0" w:space="0" w:color="000000"/>
              <w:insideV w:val="nil" w:sz="0" w:space="0" w:color="000000"/>
            </w:tcBorders>
            <w:tcMar>
              <w:top w:w="100" w:type="dxa"/>
              <w:left w:w="120" w:type="dxa"/>
              <w:bottom w:w="100" w:type="dxa"/>
              <w:right w:w="120" w:type="dxa"/>
            </w:tcMar>
            <w:vAlign w:val="center"/>
            <w:shd w:val="clear" w:color="auto" w:fill="FFFFFF"/>
          </w:tcPr>
          <w:p w14:paraId="74757E50">
            <w:pPr>
              <w:spacing w:after="0" w:line="360" w:lineRule="exact" w:before="0"/>
              <w:ind w:firstLine="0"/>
              <w:jc w:val="center"/>
              <w:rPr>
                <w:rFonts w:hint="default" w:ascii="宋体" w:hAnsi="宋体" w:eastAsia="宋体"/>
                <w:b w:val="0"/>
                <w:i w:val="0"/>
                <w:sz w:val="16"/>
                <w:lang w:val="en-US" w:eastAsia="zh-CN"/>
              </w:rPr>
            </w:pPr>
            <w:r>
              <w:rPr>
                <w:rFonts w:hint="eastAsia" w:ascii="Times New Roman" w:hAnsi="Times New Roman" w:eastAsia="宋体" w:cs="Times New Roman"/>
                <w:b w:val="0"/>
                <w:i w:val="0"/>
                <w:sz w:val="21"/>
                <w:lang w:val="en-US" w:eastAsia="zh-CN"/>
              </w:rPr>
              <w:t>26.5s</w:t>
            </w:r>
          </w:p>
        </w:tc>
        <w:tc>
          <w:tcPr>
            <w:tcW w:w="900" w:type="dxa"/>
            <w:tcBorders>
              <w:top w:val="nil" w:color="000000" w:sz="0" w:space="0"/>
              <w:left w:val="nil" w:color="000000" w:sz="0" w:space="0"/>
              <w:bottom w:val="nil" w:color="000000" w:sz="0" w:space="0"/>
              <w:right w:val="nil" w:color="000000" w:sz="0" w:space="0"/>
              <w:insideH w:val="nil" w:sz="0" w:space="0" w:color="000000"/>
              <w:insideV w:val="nil" w:sz="0" w:space="0" w:color="000000"/>
            </w:tcBorders>
            <w:tcMar>
              <w:top w:w="100" w:type="dxa"/>
              <w:left w:w="120" w:type="dxa"/>
              <w:bottom w:w="100" w:type="dxa"/>
              <w:right w:w="120" w:type="dxa"/>
            </w:tcMar>
            <w:vAlign w:val="center"/>
            <w:shd w:val="clear" w:color="auto" w:fill="FFFFFF"/>
          </w:tcPr>
          <w:p w14:paraId="0174F6E1">
            <w:pPr>
              <w:spacing w:after="0" w:line="360" w:lineRule="exact" w:before="0"/>
              <w:ind w:firstLine="0"/>
              <w:jc w:val="center"/>
              <w:rPr>
                <w:rFonts w:hint="default" w:ascii="宋体" w:hAnsi="宋体" w:eastAsia="宋体"/>
                <w:b w:val="0"/>
                <w:i w:val="0"/>
                <w:sz w:val="16"/>
                <w:lang w:val="en-US" w:eastAsia="zh-CN"/>
              </w:rPr>
            </w:pPr>
            <w:r>
              <w:rPr>
                <w:rFonts w:hint="eastAsia" w:ascii="Times New Roman" w:hAnsi="Times New Roman" w:eastAsia="宋体" w:cs="Times New Roman"/>
                <w:b w:val="0"/>
                <w:i w:val="0"/>
                <w:sz w:val="21"/>
                <w:lang w:val="en-US" w:eastAsia="zh-CN"/>
              </w:rPr>
              <w:t>25.6s</w:t>
            </w:r>
          </w:p>
        </w:tc>
        <w:tc>
          <w:tcPr>
            <w:tcW w:w="3271" w:type="dxa"/>
            <w:tcBorders>
              <w:top w:val="nil" w:color="000000" w:sz="0" w:space="0"/>
              <w:left w:val="nil" w:color="000000" w:sz="0" w:space="0"/>
              <w:bottom w:val="nil" w:color="000000" w:sz="0" w:space="0"/>
              <w:right w:val="nil" w:color="000000" w:sz="0" w:space="0"/>
              <w:insideH w:val="nil" w:sz="0" w:space="0" w:color="000000"/>
              <w:insideV w:val="nil" w:sz="0" w:space="0" w:color="000000"/>
            </w:tcBorders>
            <w:tcMar>
              <w:top w:w="100" w:type="dxa"/>
              <w:left w:w="120" w:type="dxa"/>
              <w:bottom w:w="100" w:type="dxa"/>
              <w:right w:w="120" w:type="dxa"/>
            </w:tcMar>
            <w:vAlign w:val="center"/>
            <w:shd w:val="clear" w:color="auto" w:fill="FFFFFF"/>
          </w:tcPr>
          <w:p w14:paraId="3B07C88D">
            <w:pPr>
              <w:spacing w:after="0" w:line="360" w:lineRule="exact" w:before="0"/>
              <w:ind w:firstLine="0"/>
              <w:jc w:val="center"/>
              <w:rPr>
                <w:rFonts w:ascii="宋体" w:hAnsi="宋体" w:eastAsia="宋体"/>
                <w:b w:val="0"/>
                <w:i w:val="0"/>
                <w:sz w:val="16"/>
              </w:rPr>
            </w:pPr>
            <w:r>
              <w:rPr>
                <w:rFonts w:hint="eastAsia" w:ascii="Times New Roman" w:hAnsi="Times New Roman" w:eastAsia="宋体" w:cs="Times New Roman"/>
                <w:b w:val="0"/>
                <w:i w:val="0"/>
                <w:sz w:val="21"/>
                <w:lang w:val="en-US" w:eastAsia="zh-CN"/>
              </w:rPr>
              <w:t>在维持钢珠稳定的情况下可正常巡线</w:t>
            </w:r>
          </w:p>
        </w:tc>
      </w:tr>
      <w:tr w14:paraId="5998F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1350" w:type="dxa"/>
            <w:tcBorders>
              <w:top w:val="nil" w:color="000000" w:sz="0" w:space="0"/>
              <w:left w:val="nil" w:color="000000" w:sz="0" w:space="0"/>
              <w:bottom w:val="nil" w:color="000000" w:sz="0" w:space="0"/>
              <w:right w:val="nil" w:color="000000" w:sz="0" w:space="0"/>
              <w:insideH w:val="nil" w:sz="0" w:space="0" w:color="000000"/>
              <w:insideV w:val="nil" w:sz="0" w:space="0" w:color="000000"/>
            </w:tcBorders>
            <w:tcMar>
              <w:top w:w="100" w:type="dxa"/>
              <w:left w:w="120" w:type="dxa"/>
              <w:bottom w:w="100" w:type="dxa"/>
              <w:right w:w="120" w:type="dxa"/>
            </w:tcMar>
            <w:vAlign w:val="center"/>
            <w:shd w:val="clear" w:color="auto" w:fill="FFFFFF"/>
          </w:tcPr>
          <w:p w14:paraId="7FF486DC">
            <w:pPr>
              <w:spacing w:after="0" w:line="360" w:lineRule="exact" w:before="0"/>
              <w:ind w:firstLine="0"/>
              <w:jc w:val="center"/>
              <w:rPr>
                <w:rFonts w:ascii="宋体" w:hAnsi="宋体" w:eastAsia="宋体"/>
                <w:b w:val="0"/>
                <w:i w:val="0"/>
                <w:sz w:val="16"/>
              </w:rPr>
            </w:pPr>
            <w:r>
              <w:rPr>
                <w:rFonts w:ascii="Times New Roman" w:hAnsi="Times New Roman" w:eastAsia="宋体" w:cs="Times New Roman"/>
                <w:b w:val="0"/>
                <w:i w:val="0"/>
                <w:sz w:val="21"/>
              </w:rPr>
              <w:t>6 一圈任意点</w:t>
            </w:r>
          </w:p>
        </w:tc>
        <w:tc>
          <w:tcPr>
            <w:tcW w:w="1750" w:type="dxa"/>
            <w:tcBorders>
              <w:top w:val="nil" w:color="000000" w:sz="0" w:space="0"/>
              <w:left w:val="nil" w:color="000000" w:sz="0" w:space="0"/>
              <w:bottom w:val="nil" w:color="000000" w:sz="0" w:space="0"/>
              <w:right w:val="nil" w:color="000000" w:sz="0" w:space="0"/>
              <w:insideH w:val="nil" w:sz="0" w:space="0" w:color="000000"/>
              <w:insideV w:val="nil" w:sz="0" w:space="0" w:color="000000"/>
            </w:tcBorders>
            <w:tcMar>
              <w:top w:w="100" w:type="dxa"/>
              <w:left w:w="120" w:type="dxa"/>
              <w:bottom w:w="100" w:type="dxa"/>
              <w:right w:w="120" w:type="dxa"/>
            </w:tcMar>
            <w:vAlign w:val="center"/>
            <w:shd w:val="clear" w:color="auto" w:fill="FFFFFF"/>
          </w:tcPr>
          <w:p w14:paraId="737711E3">
            <w:pPr>
              <w:spacing w:after="0" w:line="360" w:lineRule="exact" w:before="0"/>
              <w:ind w:firstLine="0"/>
              <w:jc w:val="center"/>
              <w:rPr>
                <w:rFonts w:ascii="宋体" w:hAnsi="宋体" w:eastAsia="宋体"/>
                <w:b w:val="0"/>
                <w:i w:val="0"/>
                <w:sz w:val="16"/>
              </w:rPr>
            </w:pPr>
            <w:r>
              <w:rPr>
                <w:rFonts w:ascii="Times New Roman" w:hAnsi="Times New Roman" w:eastAsia="宋体" w:cs="Times New Roman"/>
                <w:b w:val="0"/>
                <w:i w:val="0"/>
                <w:sz w:val="21"/>
              </w:rPr>
              <w:t>≤30 s；位置误差≤1 cm</w:t>
            </w:r>
          </w:p>
        </w:tc>
        <w:tc>
          <w:tcPr>
            <w:tcW w:w="900" w:type="dxa"/>
            <w:tcBorders>
              <w:top w:val="nil" w:color="000000" w:sz="0" w:space="0"/>
              <w:left w:val="nil" w:color="000000" w:sz="0" w:space="0"/>
              <w:bottom w:val="nil" w:color="000000" w:sz="0" w:space="0"/>
              <w:right w:val="nil" w:color="000000" w:sz="0" w:space="0"/>
              <w:insideH w:val="nil" w:sz="0" w:space="0" w:color="000000"/>
              <w:insideV w:val="nil" w:sz="0" w:space="0" w:color="000000"/>
            </w:tcBorders>
            <w:shd w:val="clear" w:color="auto" w:fill="FFFFFF"/>
            <w:tcMar>
              <w:top w:w="100" w:type="dxa"/>
              <w:left w:w="120" w:type="dxa"/>
              <w:bottom w:w="100" w:type="dxa"/>
              <w:right w:w="120" w:type="dxa"/>
            </w:tcMar>
            <w:vAlign w:val="center"/>
          </w:tcPr>
          <w:p w14:paraId="12F83E5D">
            <w:pPr>
              <w:spacing w:after="0" w:line="360" w:lineRule="exact" w:before="0"/>
              <w:ind w:firstLine="0"/>
              <w:jc w:val="center"/>
              <w:rPr>
                <w:rFonts w:hint="eastAsia" w:ascii="宋体" w:hAnsi="宋体" w:eastAsia="宋体"/>
                <w:b w:val="0"/>
                <w:i w:val="0"/>
                <w:sz w:val="16"/>
                <w:lang w:val="en-US" w:eastAsia="zh-CN"/>
              </w:rPr>
            </w:pPr>
            <w:r>
              <w:rPr>
                <w:rFonts w:hint="eastAsia" w:ascii="Times New Roman" w:hAnsi="Times New Roman" w:eastAsia="宋体" w:cs="Times New Roman"/>
                <w:b w:val="0"/>
                <w:i w:val="0"/>
                <w:sz w:val="21"/>
                <w:lang w:val="en-US" w:eastAsia="zh-CN"/>
              </w:rPr>
              <w:t>26.1s</w:t>
            </w:r>
          </w:p>
        </w:tc>
        <w:tc>
          <w:tcPr>
            <w:tcW w:w="900" w:type="dxa"/>
            <w:tcBorders>
              <w:top w:val="nil" w:color="000000" w:sz="0" w:space="0"/>
              <w:left w:val="nil" w:color="000000" w:sz="0" w:space="0"/>
              <w:bottom w:val="nil" w:color="000000" w:sz="0" w:space="0"/>
              <w:right w:val="nil" w:color="000000" w:sz="0" w:space="0"/>
              <w:insideH w:val="nil" w:sz="0" w:space="0" w:color="000000"/>
              <w:insideV w:val="nil" w:sz="0" w:space="0" w:color="000000"/>
            </w:tcBorders>
            <w:shd w:val="clear" w:color="auto" w:fill="FFFFFF"/>
            <w:tcMar>
              <w:top w:w="100" w:type="dxa"/>
              <w:left w:w="120" w:type="dxa"/>
              <w:bottom w:w="100" w:type="dxa"/>
              <w:right w:w="120" w:type="dxa"/>
            </w:tcMar>
            <w:vAlign w:val="center"/>
          </w:tcPr>
          <w:p w14:paraId="157BC217">
            <w:pPr>
              <w:spacing w:after="0" w:line="360" w:lineRule="exact" w:before="0"/>
              <w:ind w:firstLine="0"/>
              <w:jc w:val="center"/>
              <w:rPr>
                <w:rFonts w:hint="eastAsia" w:ascii="宋体" w:hAnsi="宋体" w:eastAsia="宋体"/>
                <w:b w:val="0"/>
                <w:i w:val="0"/>
                <w:sz w:val="16"/>
                <w:lang w:val="en-US" w:eastAsia="zh-CN"/>
              </w:rPr>
            </w:pPr>
            <w:r>
              <w:rPr>
                <w:rFonts w:hint="eastAsia" w:ascii="Times New Roman" w:hAnsi="Times New Roman" w:eastAsia="宋体" w:cs="Times New Roman"/>
                <w:b w:val="0"/>
                <w:i w:val="0"/>
                <w:sz w:val="21"/>
                <w:lang w:val="en-US" w:eastAsia="zh-CN"/>
              </w:rPr>
              <w:t>26.6s</w:t>
            </w:r>
          </w:p>
        </w:tc>
        <w:tc>
          <w:tcPr>
            <w:tcW w:w="900" w:type="dxa"/>
            <w:tcBorders>
              <w:top w:val="nil" w:color="000000" w:sz="0" w:space="0"/>
              <w:left w:val="nil" w:color="000000" w:sz="0" w:space="0"/>
              <w:bottom w:val="nil" w:color="000000" w:sz="0" w:space="0"/>
              <w:right w:val="nil" w:color="000000" w:sz="0" w:space="0"/>
              <w:insideH w:val="nil" w:sz="0" w:space="0" w:color="000000"/>
              <w:insideV w:val="nil" w:sz="0" w:space="0" w:color="000000"/>
            </w:tcBorders>
            <w:shd w:val="clear" w:color="auto" w:fill="FFFFFF"/>
            <w:tcMar>
              <w:top w:w="100" w:type="dxa"/>
              <w:left w:w="120" w:type="dxa"/>
              <w:bottom w:w="100" w:type="dxa"/>
              <w:right w:w="120" w:type="dxa"/>
            </w:tcMar>
            <w:vAlign w:val="center"/>
          </w:tcPr>
          <w:p w14:paraId="39DEB1B6">
            <w:pPr>
              <w:spacing w:after="0" w:line="360" w:lineRule="exact" w:before="0"/>
              <w:ind w:firstLine="0"/>
              <w:jc w:val="center"/>
              <w:rPr>
                <w:rFonts w:hint="default" w:ascii="宋体" w:hAnsi="宋体" w:eastAsia="宋体"/>
                <w:b w:val="0"/>
                <w:i w:val="0"/>
                <w:sz w:val="16"/>
                <w:lang w:val="en-US" w:eastAsia="zh-CN"/>
              </w:rPr>
            </w:pPr>
            <w:r>
              <w:rPr>
                <w:rFonts w:hint="eastAsia" w:ascii="Times New Roman" w:hAnsi="Times New Roman" w:eastAsia="宋体" w:cs="Times New Roman"/>
                <w:b w:val="0"/>
                <w:i w:val="0"/>
                <w:sz w:val="21"/>
                <w:lang w:val="en-US" w:eastAsia="zh-CN"/>
              </w:rPr>
              <w:t>26.2s</w:t>
            </w:r>
          </w:p>
        </w:tc>
        <w:tc>
          <w:tcPr>
            <w:tcW w:w="3271" w:type="dxa"/>
            <w:tcBorders>
              <w:top w:val="nil" w:color="000000" w:sz="0" w:space="0"/>
              <w:left w:val="nil" w:color="000000" w:sz="0" w:space="0"/>
              <w:bottom w:val="nil" w:color="000000" w:sz="0" w:space="0"/>
              <w:right w:val="nil" w:color="000000" w:sz="0" w:space="0"/>
              <w:insideH w:val="nil" w:sz="0" w:space="0" w:color="000000"/>
              <w:insideV w:val="nil" w:sz="0" w:space="0" w:color="000000"/>
            </w:tcBorders>
            <w:tcMar>
              <w:top w:w="100" w:type="dxa"/>
              <w:left w:w="120" w:type="dxa"/>
              <w:bottom w:w="100" w:type="dxa"/>
              <w:right w:w="120" w:type="dxa"/>
            </w:tcMar>
            <w:vAlign w:val="center"/>
            <w:shd w:val="clear" w:color="auto" w:fill="FFFFFF"/>
          </w:tcPr>
          <w:p w14:paraId="02435D5B">
            <w:pPr>
              <w:spacing w:after="0" w:line="360" w:lineRule="exact" w:before="0"/>
              <w:ind w:firstLine="0"/>
              <w:jc w:val="center"/>
              <w:rPr>
                <w:rFonts w:ascii="宋体" w:hAnsi="宋体" w:eastAsia="宋体"/>
                <w:b w:val="0"/>
                <w:i w:val="0"/>
                <w:sz w:val="16"/>
              </w:rPr>
            </w:pPr>
            <w:r>
              <w:rPr>
                <w:rFonts w:hint="eastAsia" w:ascii="Times New Roman" w:hAnsi="Times New Roman" w:eastAsia="宋体" w:cs="Times New Roman"/>
                <w:b w:val="0"/>
                <w:i w:val="0"/>
                <w:sz w:val="21"/>
                <w:lang w:val="en-US" w:eastAsia="zh-CN"/>
              </w:rPr>
              <w:t>在维持钢珠稳定的情况下可正常巡线</w:t>
            </w:r>
          </w:p>
        </w:tc>
      </w:tr>
    </w:tbl>
    <w:p>
      <w:pPr>
        <w:pStyle w:val="3"/>
        <w:widowControl/>
      </w:pPr>
      <w:r>
        <w:t>七、设计实现、调试与改进</w:t>
      </w:r>
    </w:p>
    <w:p>
      <w:pPr>
        <w:pStyle w:val="4"/>
        <w:widowControl/>
      </w:pPr>
      <w:r>
        <w:t>7.1 参数整定与稳定性改进</w:t>
      </w:r>
    </w:p>
    <w:p>
      <w:pPr>
        <w:widowControl/>
        <w:spacing w:before="0" w:after="0" w:lineRule="exact" w:line="440"/>
        <w:ind w:firstLine="482"/>
        <w:jc w:val="both"/>
      </w:pPr>
      <w:r>
        <w:rPr>
          <w:rFonts w:ascii="Times New Roman" w:hAnsi="Times New Roman" w:cs="Times New Roman" w:eastAsia="宋体"/>
          <w:b w:val="0"/>
          <w:sz w:val="24"/>
        </w:rPr>
        <w:t>参数整定遵循“先执行层、再速度内环、后位置外环、最后加速度前馈”的顺序。首先校准摆杆水平零点、传动方向和齿轮比，并保证步进运动不丢步；随后在底盘静止条件下调节速度PI，使钢球速度响应具有足够阻尼，再逐步提高位置外环比例增益并设置最大目标球速。静态定位稳定后启用底盘梯形加减速，最后根据起步和制动阶段钢球偏移的方向与峰值调整前馈系数及启用阈值。该顺序避免多个环节同时变化造成参数耦合。</w:t>
      </w:r>
    </w:p>
    <w:p>
      <w:pPr>
        <w:pStyle w:val="4"/>
        <w:widowControl/>
      </w:pPr>
      <w:r>
        <w:t>7.2 误差来源与可靠性改进</w:t>
      </w:r>
    </w:p>
    <w:p>
      <w:pPr>
        <w:widowControl/>
        <w:spacing w:before="0" w:after="0" w:lineRule="exact" w:line="440"/>
        <w:ind w:firstLine="482"/>
        <w:jc w:val="both"/>
      </w:pPr>
      <w:r>
        <w:rPr>
          <w:rFonts w:ascii="Times New Roman" w:hAnsi="Times New Roman" w:cs="Times New Roman" w:eastAsia="宋体"/>
          <w:b w:val="0"/>
          <w:sz w:val="24"/>
        </w:rPr>
        <w:t>现阶段误差主要来自视觉帧率低于控制频率、摄像头支架残余振动、齿轮齿条回差以及轮胎打滑造成的实际加速度与规划值不一致。后续可增加IMU纵向加速度与编码器速度融合，对Kff按加速、减速分段标定，并采用带前馈校正的S形速度曲线进一步减小加速度突变；同时扩大不同电量、不同场地摩擦条件下的重复测试，以提高封闭比赛环境中的鲁棒性。</w:t>
      </w:r>
    </w:p>
    <w:p w14:paraId="24372759">
      <w:pPr>
        <w:pStyle w:val="3"/>
        <w:keepNext/>
        <w:widowControl/>
        <w:spacing w:before="100" w:after="20" w:line="440" w:lineRule="exact"/>
        <w:ind w:firstLine="0"/>
        <w:jc w:val="left"/>
        <w:rPr>
          <w:color w:val="000000" w:themeColor="text1"/>
          <w14:textFill>
            <w14:solidFill>
              <w14:schemeClr w14:val="tx1"/>
            </w14:solidFill>
          </w14:textFill>
        </w:rPr>
      </w:pPr>
      <w:r>
        <w:t>八、结论</w:t>
      </w:r>
    </w:p>
    <w:p w14:paraId="17E71253">
      <w:pPr>
        <w:widowControl/>
        <w:spacing w:before="0" w:after="0" w:line="440" w:lineRule="exact"/>
        <w:ind w:firstLine="482"/>
        <w:jc w:val="both"/>
        <w:rPr>
          <w:rFonts w:hint="default" w:eastAsia="宋体"/>
          <w:color w:val="000000" w:themeColor="text1"/>
          <w:lang w:val="en-US" w:eastAsia="zh-CN"/>
          <w14:textFill>
            <w14:solidFill>
              <w14:schemeClr w14:val="tx1"/>
            </w14:solidFill>
          </w14:textFill>
        </w:rPr>
      </w:pPr>
      <w:r>
        <w:rPr>
          <w:rFonts w:ascii="Times New Roman" w:hAnsi="Times New Roman" w:eastAsia="宋体" w:cs="Times New Roman"/>
          <w:b w:val="0"/>
          <w:sz w:val="24"/>
        </w:rPr>
        <w:t>本设计完成了循迹、视觉定位、摆杆执行和图传记录的一体化车载滚球系统。控制部分不再把滚球稳定笼统表述为单位置PID，而是按现有程序实现位置P—速度PI串级控制，并由底盘梯形速度规划提供加速度前馈：外环保证目标位置，内环提供速度阻尼，前馈针对起步和制动的惯性扰动，执行层负责角度斜率、步进梯形运动与软限位。测试结果表明，系统能够完成一圈停车、静态±5 cm定点、A到B中心保持、整圈中心保持和任意位置保持，三次测试均满足题目时间与误差要求。</w:t>
      </w:r>
    </w:p>
    <w:p w14:paraId="2C2FB957">
      <w:pPr>
        <w:widowControl/>
        <w:spacing w:before="0" w:after="0" w:line="440" w:lineRule="exact"/>
        <w:ind w:firstLine="0"/>
        <w:jc w:val="both"/>
        <w:rPr>
          <w:color w:val="000000" w:themeColor="text1"/>
          <w14:textFill>
            <w14:solidFill>
              <w14:schemeClr w14:val="tx1"/>
            </w14:solidFill>
          </w14:textFill>
        </w:rPr>
      </w:pPr>
    </w:p>
    <w:sectPr>
      <w:footerReference r:id="rId5" w:type="default"/>
      <w:headerReference w:type="default" r:id="rId17"/>
      <w:pgSz w:w="11906" w:h="16838"/>
      <w:pgMar w:top="1814" w:right="1417" w:bottom="1134" w:left="1417" w:header="850" w:footer="624"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IDFont">
    <w:altName w:val="AMGDT"/>
    <w:panose1 w:val="00000000000000000000"/>
    <w:charset w:val="00"/>
    <w:family w:val="auto"/>
    <w:pitch w:val="default"/>
    <w:sig w:usb0="00000000" w:usb1="00000000" w:usb2="00000000" w:usb3="00000000" w:csb0="00000000"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120253">
    <w:pPr>
      <w:pStyle w:val="24"/>
      <w:spacing w:before="0" w:after="0"/>
      <w:ind w:firstLine="0"/>
      <w:jc w:val="right"/>
    </w:pPr>
    <w:r>
      <w:rPr>
        <w:rFonts w:ascii="Times New Roman" w:hAnsi="Times New Roman" w:cs="Times New Roman" w:eastAsia="宋体"/>
        <w:b w:val="0"/>
        <w:sz w:val="18"/>
      </w:rPr>
      <w:fldChar w:fldCharType="begin"/>
      <w:instrText xml:space="preserve"> PAGE </w:instrText>
      <w:fldChar w:fldCharType="separate"/>
      <w:t>1</w:t>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6"/>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7AD739C"/>
    <w:rsid w:val="14675B0E"/>
    <w:rsid w:val="2C90798A"/>
    <w:rsid w:val="34A93A72"/>
    <w:rsid w:val="4FD25C25"/>
    <w:rsid w:val="72E67F6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uiPriority="99" w:semiHidden="0" w:name="List Number"/>
    <w:lsdException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440" w:lineRule="exact"/>
      <w:ind w:firstLine="482"/>
      <w:jc w:val="both"/>
    </w:pPr>
    <w:rPr>
      <w:rFonts w:ascii="Times New Roman" w:hAnsi="Times New Roman" w:eastAsia="宋体" w:cstheme="minorBidi" w:cs="Times New Roman"/>
      <w:b w:val="0"/>
      <w:sz w:val="24"/>
      <w:szCs w:val="22"/>
      <w:lang w:val="en-US" w:eastAsia="en-US" w:bidi="ar-SA"/>
    </w:rPr>
  </w:style>
  <w:style w:type="paragraph" w:styleId="3">
    <w:name w:val="heading 1"/>
    <w:basedOn w:val="1"/>
    <w:next w:val="1"/>
    <w:link w:val="138"/>
    <w:qFormat/>
    <w:uiPriority w:val="9"/>
    <w:pPr>
      <w:keepNext/>
      <w:keepLines/>
      <w:spacing w:before="0" w:after="80" w:lineRule="exact" w:line="440"/>
      <w:ind w:firstLine="0"/>
      <w:jc w:val="left"/>
      <w:outlineLvl w:val="0"/>
    </w:pPr>
    <w:rPr>
      <w:rFonts w:asciiTheme="majorHAnsi" w:hAnsiTheme="majorHAnsi" w:eastAsiaTheme="majorEastAsia" w:cstheme="majorBidi" w:ascii="Times New Roman" w:hAnsi="Times New Roman" w:cs="Times New Roman" w:eastAsia="黑体"/>
      <w:b/>
      <w:bCs/>
      <w:color w:val="376092" w:themeColor="accent1" w:themeShade="BF"/>
      <w:sz w:val="30"/>
      <w:szCs w:val="28"/>
    </w:rPr>
  </w:style>
  <w:style w:type="paragraph" w:styleId="4">
    <w:name w:val="heading 2"/>
    <w:basedOn w:val="1"/>
    <w:next w:val="1"/>
    <w:link w:val="139"/>
    <w:unhideWhenUsed/>
    <w:qFormat/>
    <w:uiPriority w:val="9"/>
    <w:pPr>
      <w:keepNext/>
      <w:keepLines/>
      <w:spacing w:before="80" w:after="40" w:lineRule="exact" w:line="440"/>
      <w:ind w:firstLine="0"/>
      <w:jc w:val="left"/>
      <w:outlineLvl w:val="1"/>
    </w:pPr>
    <w:rPr>
      <w:rFonts w:asciiTheme="majorHAnsi" w:hAnsiTheme="majorHAnsi" w:eastAsiaTheme="majorEastAsia" w:cstheme="majorBidi" w:ascii="Times New Roman" w:hAnsi="Times New Roman" w:cs="Times New Roman" w:eastAsia="黑体"/>
      <w:b/>
      <w:bCs/>
      <w:color w:val="4F81BD" w:themeColor="accent1"/>
      <w:sz w:val="28"/>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keepNext/>
      <w:spacing w:line="360" w:lineRule="exact" w:before="60" w:after="60"/>
      <w:ind w:firstLine="0"/>
      <w:jc w:val="center"/>
    </w:pPr>
    <w:rPr>
      <w:rFonts w:ascii="Times New Roman" w:hAnsi="Times New Roman" w:cs="Times New Roman" w:eastAsia="宋体"/>
      <w:b w:val="0"/>
      <w:bCs/>
      <w:color w:val="4F81BD" w:themeColor="accent1"/>
      <w:sz w:val="21"/>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ReportFormula">
    <w:name w:val="Report Formula"/>
    <w:pPr>
      <w:spacing w:lineRule="exact" w:line="400" w:before="40" w:after="40"/>
      <w:jc w:val="center"/>
    </w:pPr>
    <w:rPr>
      <w:rFonts w:ascii="宋体" w:hAnsi="宋体" w:eastAsia="宋体"/>
      <w:sz w:val="22"/>
    </w:rPr>
  </w:style>
  <w:style w:type="paragraph" w:customStyle="1" w:styleId="ReportCaption">
    <w:name w:val="Report Caption"/>
    <w:pPr>
      <w:spacing w:lineRule="exact" w:line="360" w:before="40" w:after="60"/>
      <w:jc w:val="center"/>
    </w:pPr>
    <w:rPr>
      <w:rFonts w:ascii="宋体" w:hAnsi="宋体" w:eastAsia="宋体"/>
      <w:sz w:val="21"/>
    </w:rPr>
  </w:style>
  <w:style w:type="paragraph" w:customStyle="1" w:styleId="Equation">
    <w:name w:val="Equation"/>
    <w:pPr>
      <w:keepLines/>
      <w:spacing w:before="80" w:after="80" w:line="240" w:lineRule="auto"/>
      <w:ind w:firstLine="0"/>
      <w:jc w:val="left"/>
    </w:pPr>
    <w:rPr>
      <w:rFonts w:ascii="Times New Roman" w:hAnsi="Times New Roman" w:cs="Times New Roman" w:eastAsia="宋体"/>
      <w:b w:val="0"/>
      <w:sz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jpe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 Id="rId16" Type="http://schemas.openxmlformats.org/officeDocument/2006/relationships/image" Target="media/image7.png"/><Relationship Id="rId1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Pages>
  <Words>798</Words>
  <Characters>859</Characters>
  <Lines>0</Lines>
  <Paragraphs>0</Paragraphs>
  <TotalTime>12</TotalTime>
  <ScaleCrop>false</ScaleCrop>
  <LinksUpToDate>false</LinksUpToDate>
  <CharactersWithSpaces>869</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WPS_1725892879</dc:creator>
  <dc:description>generated by python-docx</dc:description>
  <cp:lastModifiedBy>WPS_1720428365</cp:lastModifiedBy>
  <dcterms:modified xsi:type="dcterms:W3CDTF">2026-07-31T16:27:23Z</dcterms:modified>
  <cp:revision>1</cp:revision>
  <dc:title>车载平衡滚球运动控制系统（H题）设计报告</dc:title>
  <dc:subject>按竞赛模板排版的设计报告</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eyJoZGlkIjoiMjE3MjM4N2IxMWVmYzFkZTEzZjQ4Y2RmOGM3M2ZkYTUiLCJ1c2VySWQiOiIxNjEyODg4MzA4In0=</vt:lpwstr>
  </property>
  <property fmtid="{D5CDD505-2E9C-101B-9397-08002B2CF9AE}" pid="3" name="KSOProductBuildVer">
    <vt:lpwstr>2052-12.1.0.26895</vt:lpwstr>
  </property>
  <property fmtid="{D5CDD505-2E9C-101B-9397-08002B2CF9AE}" pid="4" name="ICV">
    <vt:lpwstr>172835B438B64DB8B18B6E226B948B0D_12</vt:lpwstr>
  </property>
</Properties>
</file>