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Knowledge OS DOCX Fixture</w:t>
      </w:r>
    </w:p>
    <w:p>
      <w:r>
        <w:t xml:space="preserve">Introduction paragraph with hybrid retrieval and citations.</w:t>
      </w:r>
    </w:p>
    <w:p>
      <w:pPr>
        <w:pStyle w:val="Heading2"/>
      </w:pPr>
      <w:r>
        <w:t xml:space="preserve">Date lunare</w:t>
      </w:r>
    </w:p>
    <w:p>
      <w:r>
        <w:t xml:space="preserve">Acesta este un paragraf în limba română despre căutare.</w:t>
      </w:r>
    </w:p>
    <w:p>
      <w:pPr>
        <w:pStyle w:val="Heading2"/>
      </w:pPr>
      <w:r>
        <w:t xml:space="preserve">Secção mensal</w:t>
      </w:r>
    </w:p>
    <w:p>
      <w:r>
        <w:t xml:space="preserve">Este é um parágrafo em português sobre recuperação.</w:t>
      </w:r>
    </w:p>
    <w:tbl>
      <w:tblPr>
        <w:tblW w:w="0" w:type="auto"/>
      </w:tblPr>
      <w:tr>
        <w:tc>
          <w:tcPr>
            <w:tcW w:w="0" w:type="auto"/>
          </w:tcPr>
          <w:p>
            <w:r>
              <w:t xml:space="preserve">Metric</w:t>
            </w:r>
          </w:p>
        </w:tc>
        <w:tc>
          <w:tcPr>
            <w:tcW w:w="0" w:type="auto"/>
          </w:tcPr>
          <w:p>
            <w:r>
              <w:t xml:space="preserve">Q1</w:t>
            </w:r>
          </w:p>
        </w:tc>
        <w:tc>
          <w:tcPr>
            <w:tcW w:w="0" w:type="auto"/>
          </w:tcPr>
          <w:p>
            <w:r>
              <w:t xml:space="preserve">Q2</w:t>
            </w:r>
          </w:p>
        </w:tc>
      </w:tr>
      <w:tr>
        <w:tc>
          <w:tcPr>
            <w:tcW w:w="0" w:type="auto"/>
          </w:tcPr>
          <w:p>
            <w:r>
              <w:t xml:space="preserve">Revenue</w:t>
            </w:r>
          </w:p>
        </w:tc>
        <w:tc>
          <w:tcPr>
            <w:tcW w:w="0" w:type="auto"/>
          </w:tcPr>
          <w:p>
            <w:r>
              <w:t xml:space="preserve">1200</w:t>
            </w:r>
          </w:p>
        </w:tc>
        <w:tc>
          <w:tcPr>
            <w:tcW w:w="0" w:type="auto"/>
          </w:tcPr>
          <w:p>
            <w:r>
              <w:t xml:space="preserve">1450</w:t>
            </w:r>
          </w:p>
        </w:tc>
      </w:tr>
      <w:tr>
        <w:tc>
          <w:tcPr>
            <w:tcW w:w="0" w:type="auto"/>
          </w:tcPr>
          <w:p>
            <w:r>
              <w:t xml:space="preserve">Costs</w:t>
            </w:r>
          </w:p>
        </w:tc>
        <w:tc>
          <w:tcPr>
            <w:tcW w:w="0" w:type="auto"/>
          </w:tcPr>
          <w:p>
            <w:r>
              <w:t xml:space="preserve">800</w:t>
            </w:r>
          </w:p>
        </w:tc>
        <w:tc>
          <w:tcPr>
            <w:tcW w:w="0" w:type="auto"/>
          </w:tcPr>
          <w:p>
            <w:r>
              <w:t xml:space="preserve">910</w:t>
            </w:r>
          </w:p>
        </w:tc>
      </w:tr>
      <w:tr>
        <w:tc>
          <w:tcPr>
            <w:tcW w:w="0" w:type="auto"/>
          </w:tcPr>
          <w:p>
            <w:r>
              <w:t xml:space="preserve">Margin</w:t>
            </w:r>
          </w:p>
        </w:tc>
        <w:tc>
          <w:tcPr>
            <w:tcW w:w="0" w:type="auto"/>
          </w:tcPr>
          <w:p>
            <w:r>
              <w:t xml:space="preserve">400</w:t>
            </w:r>
          </w:p>
        </w:tc>
        <w:tc>
          <w:tcPr>
            <w:tcW w:w="0" w:type="auto"/>
          </w:tcPr>
          <w:p>
            <w:r>
              <w:t xml:space="preserve">540</w:t>
            </w:r>
          </w:p>
        </w:tc>
      </w:tr>
    </w:tbl>
    <w:p>
      <w:r>
        <w:t xml:space="preserve">Closing paragraph after the table.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