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Breadcrumbs, not modes</w:t>
      </w:r>
    </w:p>
    <w:p>
      <w:r>
        <w:rPr>
          <w:b w:val="0"/>
          <w:i w:val="0"/>
        </w:rPr>
        <w:t>The middle pane is a contextual surface. With nothing selected it is the live feed. Select an envelope and it recomposes around that envelope: its identity, its verdict if it is a decision, the envelopes it read or the ones that read it, and buttons to the flow and the full trace.</w:t>
      </w:r>
    </w:p>
    <w:p>
      <w:r>
        <w:rPr>
          <w:b w:val="0"/>
          <w:i w:val="0"/>
        </w:rPr>
        <w:t>The bar above it is a breadcrumb — FEED / symbol · topic — not a row of equal tabs. You do not choose a mode; the selection decides what is worth showing. The deeper views (flow, trace, why) open from the context's buttons.</w:t>
      </w:r>
    </w:p>
    <w:p>
      <w:r>
        <w:rPr>
          <w:b w:val="0"/>
          <w:i w:val="0"/>
        </w:rPr>
        <w:t>The ← button at the left of the crumb bar is back. It is greyed out when there is nothing to go back to, and it is the same action as Escape: one step, restoring the view and the envelope you had selected.</w:t>
      </w:r>
    </w:p>
    <w:p>
      <w:pPr>
        <w:pStyle w:val="Heading2"/>
      </w:pPr>
      <w:r>
        <w:t>2.2  Resizing: every panel</w:t>
      </w:r>
    </w:p>
    <w:p>
      <w:r>
        <w:rPr>
          <w:b w:val="0"/>
          <w:i w:val="0"/>
        </w:rPr>
        <w:t>Three splitters: one between the filters and the list, one between the list and the detail pane, and one under the timeline. Drag any of them; double-click is not needed because the size persists in the browser, so the layout you set is the layout you get next time.</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15-layout.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filters pane dragged wider, a model decision selected, and the context strip showing the four interceptors that passed before the operator ran.</w:t>
      </w:r>
    </w:p>
    <w:p>
      <w:r>
        <w:br w:type="page"/>
      </w:r>
    </w:p>
    <w:p>
      <w:pPr>
        <w:pStyle w:val="Heading2"/>
      </w:pPr>
      <w:r>
        <w:t>2.3  What the surface decides</w:t>
      </w:r>
    </w:p>
    <w:p>
      <w:r>
        <w:rPr>
          <w:b w:val="0"/>
          <w:i w:val="0"/>
        </w:rPr>
        <w:t>The surface is a set of rules, not a template. Given a selection it asks what kind of thing it is holding and composes accordingly.</w:t>
      </w:r>
    </w:p>
    <w:tbl>
      <w:tblPr>
        <w:tblStyle w:val="LightGrid-Accent1"/>
        <w:tblW w:type="auto" w:w="0"/>
        <w:jc w:val="center"/>
        <w:tblLook w:firstColumn="1" w:firstRow="1" w:lastColumn="0" w:lastRow="0" w:noHBand="0" w:noVBand="1" w:val="04A0"/>
      </w:tblPr>
      <w:tblGrid>
        <w:gridCol w:w="4873"/>
        <w:gridCol w:w="4873"/>
      </w:tblGrid>
      <w:tr>
        <w:tc>
          <w:tcPr>
            <w:tcW w:type="dxa" w:w="2736"/>
          </w:tcPr>
          <w:p>
            <w:r/>
            <w:r>
              <w:rPr>
                <w:b/>
                <w:sz w:val="18"/>
              </w:rPr>
              <w:t>The selection</w:t>
            </w:r>
          </w:p>
        </w:tc>
        <w:tc>
          <w:tcPr>
            <w:tcW w:type="dxa" w:w="6768"/>
          </w:tcPr>
          <w:p>
            <w:r/>
            <w:r>
              <w:rPr>
                <w:b/>
                <w:sz w:val="18"/>
              </w:rPr>
              <w:t>What the surface shows</w:t>
            </w:r>
          </w:p>
        </w:tc>
      </w:tr>
      <w:tr>
        <w:tc>
          <w:tcPr>
            <w:tcW w:type="dxa" w:w="2736"/>
          </w:tcPr>
          <w:p>
            <w:r/>
            <w:r>
              <w:rPr>
                <w:sz w:val="17"/>
              </w:rPr>
              <w:t>nothing</w:t>
            </w:r>
          </w:p>
        </w:tc>
        <w:tc>
          <w:tcPr>
            <w:tcW w:type="dxa" w:w="6768"/>
          </w:tcPr>
          <w:p>
            <w:r/>
            <w:r>
              <w:rPr>
                <w:sz w:val="17"/>
              </w:rPr>
              <w:t>the live feed and the timeline</w:t>
            </w:r>
          </w:p>
        </w:tc>
      </w:tr>
      <w:tr>
        <w:tc>
          <w:tcPr>
            <w:tcW w:type="dxa" w:w="2736"/>
          </w:tcPr>
          <w:p>
            <w:r/>
            <w:r>
              <w:rPr>
                <w:sz w:val="17"/>
              </w:rPr>
              <w:t>a decision (model.decision)</w:t>
            </w:r>
          </w:p>
        </w:tc>
        <w:tc>
          <w:tcPr>
            <w:tcW w:type="dxa" w:w="6768"/>
          </w:tcPr>
          <w:p>
            <w:r/>
            <w:r>
              <w:rPr>
                <w:sz w:val="17"/>
              </w:rPr>
              <w:t>its verdict: traded or refused, the reason verbatim, the confidence</w:t>
            </w:r>
          </w:p>
        </w:tc>
      </w:tr>
      <w:tr>
        <w:tc>
          <w:tcPr>
            <w:tcW w:type="dxa" w:w="2736"/>
          </w:tcPr>
          <w:p>
            <w:r/>
            <w:r>
              <w:rPr>
                <w:sz w:val="17"/>
              </w:rPr>
              <w:t>an outcome (a fill, a ranking)</w:t>
            </w:r>
          </w:p>
        </w:tc>
        <w:tc>
          <w:tcPr>
            <w:tcW w:type="dxa" w:w="6768"/>
          </w:tcPr>
          <w:p>
            <w:r/>
            <w:r>
              <w:rPr>
                <w:sz w:val="17"/>
              </w:rPr>
              <w:t>what it read, by stage, with the age of each input at execution</w:t>
            </w:r>
          </w:p>
        </w:tc>
      </w:tr>
      <w:tr>
        <w:tc>
          <w:tcPr>
            <w:tcW w:type="dxa" w:w="2736"/>
          </w:tcPr>
          <w:p>
            <w:r/>
            <w:r>
              <w:rPr>
                <w:sz w:val="17"/>
              </w:rPr>
              <w:t>an input with downstream traffic</w:t>
            </w:r>
          </w:p>
        </w:tc>
        <w:tc>
          <w:tcPr>
            <w:tcW w:type="dxa" w:w="6768"/>
          </w:tcPr>
          <w:p>
            <w:r/>
            <w:r>
              <w:rPr>
                <w:sz w:val="17"/>
              </w:rPr>
              <w:t>what read it next, in time order</w:t>
            </w:r>
          </w:p>
        </w:tc>
      </w:tr>
      <w:tr>
        <w:tc>
          <w:tcPr>
            <w:tcW w:type="dxa" w:w="2736"/>
          </w:tcPr>
          <w:p>
            <w:r/>
            <w:r>
              <w:rPr>
                <w:sz w:val="17"/>
              </w:rPr>
              <w:t>an input with no downstream</w:t>
            </w:r>
          </w:p>
        </w:tc>
        <w:tc>
          <w:tcPr>
            <w:tcW w:type="dxa" w:w="6768"/>
          </w:tcPr>
          <w:p>
            <w:r/>
            <w:r>
              <w:rPr>
                <w:sz w:val="17"/>
              </w:rPr>
              <w:t>the chain it belongs to, and a plain statement that nothing has read it yet</w:t>
            </w:r>
          </w:p>
        </w:tc>
      </w:tr>
      <w:tr>
        <w:tc>
          <w:tcPr>
            <w:tcW w:type="dxa" w:w="2736"/>
          </w:tcPr>
          <w:p>
            <w:r/>
            <w:r>
              <w:rPr>
                <w:sz w:val="17"/>
              </w:rPr>
              <w:t>a multi-symbol snapshot</w:t>
            </w:r>
          </w:p>
        </w:tc>
        <w:tc>
          <w:tcPr>
            <w:tcW w:type="dxa" w:w="6768"/>
          </w:tcPr>
          <w:p>
            <w:r/>
            <w:r>
              <w:rPr>
                <w:sz w:val="17"/>
              </w:rPr>
              <w:t>an explanation that it carries every symbol, so it has no per-symbol chain</w:t>
            </w:r>
          </w:p>
        </w:tc>
      </w:tr>
    </w:tbl>
    <w:p>
      <w:pPr>
        <w:spacing w:after="40"/>
      </w:pP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18-chain-context.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3 — an input with no downstream: the surface shows the chain that led to it and says plainly that no model has read it in the window.</w:t>
      </w:r>
    </w:p>
    <w:tbl>
      <w:tblPr>
        <w:tblStyle w:val="LightList-Accent1"/>
        <w:tblW w:type="auto" w:w="0"/>
        <w:tblLook w:firstColumn="1" w:firstRow="1" w:lastColumn="0" w:lastRow="0" w:noHBand="0" w:noVBand="1" w:val="04A0"/>
      </w:tblPr>
      <w:tblGrid>
        <w:gridCol w:w="9746"/>
      </w:tblGrid>
      <w:tr>
        <w:tc>
          <w:tcPr>
            <w:tcW w:type="dxa" w:w="9746"/>
          </w:tcPr>
          <w:p>
            <w:r/>
            <w:r>
              <w:rPr>
                <w:sz w:val="18"/>
              </w:rPr>
              <w:t>The rule the surface follows: never show an empty panel. If there is no downstream traffic, show upstream; if there is no chain, say why — a multi-symbol snapshot has none by construction.</w:t>
            </w:r>
          </w:p>
        </w:tc>
      </w:tr>
    </w:tbl>
    <w:p>
      <w:pPr>
        <w:spacing w:after="40"/>
      </w:pPr>
    </w:p>
    <w:p>
      <w:pPr>
        <w:pStyle w:val="Heading2"/>
      </w:pPr>
      <w:r>
        <w:t>2.4  Testing the surface</w:t>
      </w:r>
    </w:p>
    <w:p>
      <w:r>
        <w:rPr>
          <w:b w:val="0"/>
          <w:i w:val="0"/>
        </w:rPr>
        <w:t>Six checks that exercise the rules above. Each takes seconds and each has an observable outcome, so a regression shows up as a wrong panel rather than a vague feeling that the UI is off.</w:t>
      </w:r>
    </w:p>
    <w:tbl>
      <w:tblPr>
        <w:tblStyle w:val="LightGrid-Accent1"/>
        <w:tblW w:type="auto" w:w="0"/>
        <w:jc w:val="center"/>
        <w:tblLook w:firstColumn="1" w:firstRow="1" w:lastColumn="0" w:lastRow="0" w:noHBand="0" w:noVBand="1" w:val="04A0"/>
      </w:tblPr>
      <w:tblGrid>
        <w:gridCol w:w="3249"/>
        <w:gridCol w:w="3249"/>
        <w:gridCol w:w="3249"/>
      </w:tblGrid>
      <w:tr>
        <w:tc>
          <w:tcPr>
            <w:tcW w:type="dxa" w:w="576"/>
          </w:tcPr>
          <w:p>
            <w:r/>
            <w:r>
              <w:rPr>
                <w:b/>
                <w:sz w:val="18"/>
              </w:rPr>
              <w:t>#</w:t>
            </w:r>
          </w:p>
        </w:tc>
        <w:tc>
          <w:tcPr>
            <w:tcW w:type="dxa" w:w="3744"/>
          </w:tcPr>
          <w:p>
            <w:r/>
            <w:r>
              <w:rPr>
                <w:b/>
                <w:sz w:val="18"/>
              </w:rPr>
              <w:t>Do this</w:t>
            </w:r>
          </w:p>
        </w:tc>
        <w:tc>
          <w:tcPr>
            <w:tcW w:type="dxa" w:w="5184"/>
          </w:tcPr>
          <w:p>
            <w:r/>
            <w:r>
              <w:rPr>
                <w:b/>
                <w:sz w:val="18"/>
              </w:rPr>
              <w:t>Expect</w:t>
            </w:r>
          </w:p>
        </w:tc>
      </w:tr>
      <w:tr>
        <w:tc>
          <w:tcPr>
            <w:tcW w:type="dxa" w:w="576"/>
          </w:tcPr>
          <w:p>
            <w:r/>
            <w:r>
              <w:rPr>
                <w:sz w:val="17"/>
              </w:rPr>
              <w:t>1</w:t>
            </w:r>
          </w:p>
        </w:tc>
        <w:tc>
          <w:tcPr>
            <w:tcW w:type="dxa" w:w="3744"/>
          </w:tcPr>
          <w:p>
            <w:r/>
            <w:r>
              <w:rPr>
                <w:sz w:val="17"/>
              </w:rPr>
              <w:t>open the Explorer with nothing selected</w:t>
            </w:r>
          </w:p>
        </w:tc>
        <w:tc>
          <w:tcPr>
            <w:tcW w:type="dxa" w:w="5184"/>
          </w:tcPr>
          <w:p>
            <w:r/>
            <w:r>
              <w:rPr>
                <w:sz w:val="17"/>
              </w:rPr>
              <w:t>feed plus timeline; no detail, no chain</w:t>
            </w:r>
          </w:p>
        </w:tc>
      </w:tr>
      <w:tr>
        <w:tc>
          <w:tcPr>
            <w:tcW w:type="dxa" w:w="576"/>
          </w:tcPr>
          <w:p>
            <w:r/>
            <w:r>
              <w:rPr>
                <w:sz w:val="17"/>
              </w:rPr>
              <w:t>2</w:t>
            </w:r>
          </w:p>
        </w:tc>
        <w:tc>
          <w:tcPr>
            <w:tcW w:type="dxa" w:w="3744"/>
          </w:tcPr>
          <w:p>
            <w:r/>
            <w:r>
              <w:rPr>
                <w:sz w:val="17"/>
              </w:rPr>
              <w:t>select a market.depth row</w:t>
            </w:r>
          </w:p>
        </w:tc>
        <w:tc>
          <w:tcPr>
            <w:tcW w:type="dxa" w:w="5184"/>
          </w:tcPr>
          <w:p>
            <w:r/>
            <w:r>
              <w:rPr>
                <w:sz w:val="17"/>
              </w:rPr>
              <w:t>chain of that symbol, and the note that nothing downstream yet</w:t>
            </w:r>
          </w:p>
        </w:tc>
      </w:tr>
      <w:tr>
        <w:tc>
          <w:tcPr>
            <w:tcW w:type="dxa" w:w="576"/>
          </w:tcPr>
          <w:p>
            <w:r/>
            <w:r>
              <w:rPr>
                <w:sz w:val="17"/>
              </w:rPr>
              <w:t>3</w:t>
            </w:r>
          </w:p>
        </w:tc>
        <w:tc>
          <w:tcPr>
            <w:tcW w:type="dxa" w:w="3744"/>
          </w:tcPr>
          <w:p>
            <w:r/>
            <w:r>
              <w:rPr>
                <w:sz w:val="17"/>
              </w:rPr>
              <w:t>select a model.decision row (WHY, then the row)</w:t>
            </w:r>
          </w:p>
        </w:tc>
        <w:tc>
          <w:tcPr>
            <w:tcW w:type="dxa" w:w="5184"/>
          </w:tcPr>
          <w:p>
            <w:r/>
            <w:r>
              <w:rPr>
                <w:sz w:val="17"/>
              </w:rPr>
              <w:t>verdict block with traded/refused and the reason</w:t>
            </w:r>
          </w:p>
        </w:tc>
      </w:tr>
      <w:tr>
        <w:tc>
          <w:tcPr>
            <w:tcW w:type="dxa" w:w="576"/>
          </w:tcPr>
          <w:p>
            <w:r/>
            <w:r>
              <w:rPr>
                <w:sz w:val="17"/>
              </w:rPr>
              <w:t>4</w:t>
            </w:r>
          </w:p>
        </w:tc>
        <w:tc>
          <w:tcPr>
            <w:tcW w:type="dxa" w:w="3744"/>
          </w:tcPr>
          <w:p>
            <w:r/>
            <w:r>
              <w:rPr>
                <w:sz w:val="17"/>
              </w:rPr>
              <w:t>select a model.fill row</w:t>
            </w:r>
          </w:p>
        </w:tc>
        <w:tc>
          <w:tcPr>
            <w:tcW w:type="dxa" w:w="5184"/>
          </w:tcPr>
          <w:p>
            <w:r/>
            <w:r>
              <w:rPr>
                <w:sz w:val="17"/>
              </w:rPr>
              <w:t>what it read, with per-stage ages in seconds</w:t>
            </w:r>
          </w:p>
        </w:tc>
      </w:tr>
      <w:tr>
        <w:tc>
          <w:tcPr>
            <w:tcW w:type="dxa" w:w="576"/>
          </w:tcPr>
          <w:p>
            <w:r/>
            <w:r>
              <w:rPr>
                <w:sz w:val="17"/>
              </w:rPr>
              <w:t>5</w:t>
            </w:r>
          </w:p>
        </w:tc>
        <w:tc>
          <w:tcPr>
            <w:tcW w:type="dxa" w:w="3744"/>
          </w:tcPr>
          <w:p>
            <w:r/>
            <w:r>
              <w:rPr>
                <w:sz w:val="17"/>
              </w:rPr>
              <w:t>press ← or Escape</w:t>
            </w:r>
          </w:p>
        </w:tc>
        <w:tc>
          <w:tcPr>
            <w:tcW w:type="dxa" w:w="5184"/>
          </w:tcPr>
          <w:p>
            <w:r/>
            <w:r>
              <w:rPr>
                <w:sz w:val="17"/>
              </w:rPr>
              <w:t>the previous envelope and view come back, not a blank pane</w:t>
            </w:r>
          </w:p>
        </w:tc>
      </w:tr>
      <w:tr>
        <w:tc>
          <w:tcPr>
            <w:tcW w:type="dxa" w:w="576"/>
          </w:tcPr>
          <w:p>
            <w:r/>
            <w:r>
              <w:rPr>
                <w:sz w:val="17"/>
              </w:rPr>
              <w:t>6</w:t>
            </w:r>
          </w:p>
        </w:tc>
        <w:tc>
          <w:tcPr>
            <w:tcW w:type="dxa" w:w="3744"/>
          </w:tcPr>
          <w:p>
            <w:r/>
            <w:r>
              <w:rPr>
                <w:sz w:val="17"/>
              </w:rPr>
              <w:t>drag both splitters, then reload</w:t>
            </w:r>
          </w:p>
        </w:tc>
        <w:tc>
          <w:tcPr>
            <w:tcW w:type="dxa" w:w="5184"/>
          </w:tcPr>
          <w:p>
            <w:r/>
            <w:r>
              <w:rPr>
                <w:sz w:val="17"/>
              </w:rPr>
              <w:t>the layout is exactly as you left it</w:t>
            </w:r>
          </w:p>
        </w:tc>
      </w:tr>
    </w:tbl>
    <w:p>
      <w:pPr>
        <w:spacing w:after="40"/>
      </w:pPr>
    </w:p>
    <w:p>
      <w:r>
        <w:rPr>
          <w:b w:val="0"/>
          <w:i w:val="0"/>
        </w:rPr>
        <w:t>If a check fails, the cause is usually data rather than layout: the decisions are rare, the in-memory window covers the last 20,000 envelopes, and a symbol with no traffic will legitimately have nothing to show.</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2-filter.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8-empty.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9-producer.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14-refs.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7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7-detail.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13-pipeline.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8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3-timeline.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4-flow.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5-anchored.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returns to the previous view and the state you were in — selection, scroll and filters included</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10-execution.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The Gantt: spans at a glance</w:t>
      </w:r>
    </w:p>
    <w:p>
      <w:r>
        <w:rPr>
          <w:b w:val="0"/>
          <w:i w:val="0"/>
        </w:rPr>
        <w:t>The Gantt draws each span as a horizontal bar on one time axis. Open it from the context's gantt button. It has two modes, and they answer different questions.</w:t>
      </w:r>
    </w:p>
    <w:p>
      <w:pPr>
        <w:jc w:val="center"/>
      </w:pPr>
      <w:r>
        <w:drawing>
          <wp:inline xmlns:a="http://schemas.openxmlformats.org/drawingml/2006/main" xmlns:pic="http://schemas.openxmlformats.org/drawingml/2006/picture">
            <wp:extent cx="6188400" cy="3683571"/>
            <wp:docPr id="14" name="Picture 14"/>
            <wp:cNvGraphicFramePr>
              <a:graphicFrameLocks noChangeAspect="1"/>
            </wp:cNvGraphicFramePr>
            <a:graphic>
              <a:graphicData uri="http://schemas.openxmlformats.org/drawingml/2006/picture">
                <pic:pic>
                  <pic:nvPicPr>
                    <pic:cNvPr id="0" name="g19-gantt.png"/>
                    <pic:cNvPicPr/>
                  </pic:nvPicPr>
                  <pic:blipFill>
                    <a:blip r:embed="rId22"/>
                    <a:stretch>
                      <a:fillRect/>
                    </a:stretch>
                  </pic:blipFill>
                  <pic:spPr>
                    <a:xfrm>
                      <a:off x="0" y="0"/>
                      <a:ext cx="6188400" cy="3683571"/>
                    </a:xfrm>
                    <a:prstGeom prst="rect"/>
                  </pic:spPr>
                </pic:pic>
              </a:graphicData>
            </a:graphic>
          </wp:inline>
        </w:drawing>
      </w:r>
    </w:p>
    <w:p>
      <w:r>
        <w:rPr>
          <w:b w:val="0"/>
          <w:i/>
          <w:color w:val="596370"/>
          <w:sz w:val="16"/>
        </w:rPr>
        <w:t>Figure 12 — positions mode: each bar is one trade from entry to exit, with the engine labelled on the bar and the table beneath giving held time and net.</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Mode</w:t>
            </w:r>
          </w:p>
        </w:tc>
        <w:tc>
          <w:tcPr>
            <w:tcW w:type="dxa" w:w="4464"/>
          </w:tcPr>
          <w:p>
            <w:r/>
            <w:r>
              <w:rPr>
                <w:b/>
                <w:sz w:val="18"/>
              </w:rPr>
              <w:t>Bars are</w:t>
            </w:r>
          </w:p>
        </w:tc>
        <w:tc>
          <w:tcPr>
            <w:tcW w:type="dxa" w:w="3456"/>
          </w:tcPr>
          <w:p>
            <w:r/>
            <w:r>
              <w:rPr>
                <w:b/>
                <w:sz w:val="18"/>
              </w:rPr>
              <w:t>Answers</w:t>
            </w:r>
          </w:p>
        </w:tc>
      </w:tr>
      <w:tr>
        <w:tc>
          <w:tcPr>
            <w:tcW w:type="dxa" w:w="1584"/>
          </w:tcPr>
          <w:p>
            <w:r/>
            <w:r>
              <w:rPr>
                <w:sz w:val="17"/>
              </w:rPr>
              <w:t>positions</w:t>
            </w:r>
          </w:p>
        </w:tc>
        <w:tc>
          <w:tcPr>
            <w:tcW w:type="dxa" w:w="4464"/>
          </w:tcPr>
          <w:p>
            <w:r/>
            <w:r>
              <w:rPr>
                <w:sz w:val="17"/>
              </w:rPr>
              <w:t>one trade per row, from entry to exit, for the last 40 fills</w:t>
            </w:r>
          </w:p>
        </w:tc>
        <w:tc>
          <w:tcPr>
            <w:tcW w:type="dxa" w:w="3456"/>
          </w:tcPr>
          <w:p>
            <w:r/>
            <w:r>
              <w:rPr>
                <w:sz w:val="17"/>
              </w:rPr>
              <w:t>which trades were held far longer than intended, and what they returned</w:t>
            </w:r>
          </w:p>
        </w:tc>
      </w:tr>
      <w:tr>
        <w:tc>
          <w:tcPr>
            <w:tcW w:type="dxa" w:w="1584"/>
          </w:tcPr>
          <w:p>
            <w:r/>
            <w:r>
              <w:rPr>
                <w:sz w:val="17"/>
              </w:rPr>
              <w:t>trace</w:t>
            </w:r>
          </w:p>
        </w:tc>
        <w:tc>
          <w:tcPr>
            <w:tcW w:type="dxa" w:w="4464"/>
          </w:tcPr>
          <w:p>
            <w:r/>
            <w:r>
              <w:rPr>
                <w:sz w:val="17"/>
              </w:rPr>
              <w:t>one input per row, from when it was computed to when the outcome read it</w:t>
            </w:r>
          </w:p>
        </w:tc>
        <w:tc>
          <w:tcPr>
            <w:tcW w:type="dxa" w:w="3456"/>
          </w:tcPr>
          <w:p>
            <w:r/>
            <w:r>
              <w:rPr>
                <w:sz w:val="17"/>
              </w:rPr>
              <w:t>which inputs were already stale when they were used</w:t>
            </w:r>
          </w:p>
        </w:tc>
      </w:tr>
    </w:tbl>
    <w:p>
      <w:pPr>
        <w:spacing w:after="40"/>
      </w:pPr>
    </w:p>
    <w:p>
      <w:r>
        <w:rPr>
          <w:b w:val="0"/>
          <w:i w:val="0"/>
        </w:rPr>
        <w:t>Bars are coloured by stage and labelled with the producer; the table under the chart is the same data as numbers. Click any bar to open that envelope. The horizontal scale is set from the median bar, so a single very long hold stretches the axis rather than flattening every other bar into a hairline — scroll to follow it.</w:t>
      </w:r>
    </w:p>
    <w:p>
      <w:pPr>
        <w:pStyle w:val="Heading2"/>
      </w:pPr>
      <w:r>
        <w:t>7.3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5" name="Picture 15"/>
            <wp:cNvGraphicFramePr>
              <a:graphicFrameLocks noChangeAspect="1"/>
            </wp:cNvGraphicFramePr>
            <a:graphic>
              <a:graphicData uri="http://schemas.openxmlformats.org/drawingml/2006/picture">
                <pic:pic>
                  <pic:nvPicPr>
                    <pic:cNvPr id="0" name="g11-why.png"/>
                    <pic:cNvPicPr/>
                  </pic:nvPicPr>
                  <pic:blipFill>
                    <a:blip r:embed="rId23"/>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6" name="Picture 16"/>
            <wp:cNvGraphicFramePr>
              <a:graphicFrameLocks noChangeAspect="1"/>
            </wp:cNvGraphicFramePr>
            <a:graphic>
              <a:graphicData uri="http://schemas.openxmlformats.org/drawingml/2006/picture">
                <pic:pic>
                  <pic:nvPicPr>
                    <pic:cNvPr id="0" name="g6-redaction.png"/>
                    <pic:cNvPicPr/>
                  </pic:nvPicPr>
                  <pic:blipFill>
                    <a:blip r:embed="rId24"/>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 (crumb bar)</w:t>
            </w:r>
          </w:p>
        </w:tc>
        <w:tc>
          <w:tcPr>
            <w:tcW w:type="dxa" w:w="6912"/>
          </w:tcPr>
          <w:p>
            <w:r/>
            <w:r>
              <w:rPr>
                <w:sz w:val="18"/>
              </w:rPr>
              <w:t>back one step — the same action as Escape</w:t>
            </w:r>
          </w:p>
        </w:tc>
      </w:tr>
      <w:tr>
        <w:tc>
          <w:tcPr>
            <w:tcW w:type="dxa" w:w="2592"/>
          </w:tcPr>
          <w:p>
            <w:r/>
            <w:r>
              <w:rPr>
                <w:sz w:val="18"/>
              </w:rPr>
              <w:t>Esc</w:t>
            </w:r>
          </w:p>
        </w:tc>
        <w:tc>
          <w:tcPr>
            <w:tcW w:type="dxa" w:w="6912"/>
          </w:tcPr>
          <w:p>
            <w:r/>
            <w:r>
              <w:rPr>
                <w:sz w:val="18"/>
              </w:rPr>
              <w:t>one step back: the previous view *and* the envelope selected in it; with no history it clears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drag splitter</w:t>
            </w:r>
          </w:p>
        </w:tc>
        <w:tc>
          <w:tcPr>
            <w:tcW w:type="dxa" w:w="6912"/>
          </w:tcPr>
          <w:p>
            <w:r/>
            <w:r>
              <w:rPr>
                <w:sz w:val="18"/>
              </w:rPr>
              <w:t>resize the filters, the list, the detail pane or the timeline</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sectPr w:rsidR="00FC693F" w:rsidRPr="0006063C" w:rsidSect="00034616">
      <w:footerReference w:type="default" r:id="rId25"/>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