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10692000" cy="7560000"/>
            <wp:docPr id="1" name="Picture 1"/>
            <wp:cNvGraphicFramePr>
              <a:graphicFrameLocks noChangeAspect="1"/>
            </wp:cNvGraphicFramePr>
            <a:graphic>
              <a:graphicData uri="http://schemas.openxmlformats.org/drawingml/2006/picture">
                <pic:pic>
                  <pic:nvPicPr>
                    <pic:cNvPr id="0" name="00-cover.png"/>
                    <pic:cNvPicPr/>
                  </pic:nvPicPr>
                  <pic:blipFill>
                    <a:blip r:embed="rId9"/>
                    <a:stretch>
                      <a:fillRect/>
                    </a:stretch>
                  </pic:blipFill>
                  <pic:spPr>
                    <a:xfrm>
                      <a:off x="0" y="0"/>
                      <a:ext cx="10692000" cy="7560000"/>
                    </a:xfrm>
                    <a:prstGeom prst="rect"/>
                  </pic:spPr>
                </pic:pic>
              </a:graphicData>
            </a:graphic>
          </wp:inline>
        </w:drawing>
      </w:r>
    </w:p>
    <w:p>
      <w:pPr>
        <w:sectPr>
          <w:pgSz w:w="16838" w:h="11906" w:orient="landscape"/>
          <w:pgMar w:top="0" w:right="0" w:bottom="0" w:left="0" w:header="720" w:footer="720" w:gutter="0"/>
          <w:cols w:space="720"/>
          <w:docGrid w:linePitch="360"/>
        </w:sectPr>
      </w:pPr>
    </w:p>
    <w:p>
      <w:pPr>
        <w:spacing w:before="40" w:after="120"/>
      </w:pPr>
      <w:r>
        <w:rPr>
          <w:b/>
          <w:color w:val="8A94A0"/>
          <w:sz w:val="22"/>
        </w:rPr>
        <w:t xml:space="preserve">00   </w:t>
      </w:r>
      <w:r>
        <w:rPr>
          <w:b/>
          <w:color w:val="1B4A6F"/>
          <w:sz w:val="38"/>
        </w:rPr>
        <w:t>Contents</w:t>
      </w:r>
    </w:p>
    <w:p>
      <w:pPr>
        <w:spacing w:after="200"/>
      </w:pPr>
      <w:r>
        <w:rPr>
          <w:i w:val="0"/>
          <w:color w:val="5C6672"/>
          <w:sz w:val="19"/>
        </w:rPr>
        <w:t>Every section begins with what it shows; every figure is listed here and captioned where it appears. The document runs from the whole platform down to the filesystem.</w:t>
      </w:r>
    </w:p>
    <w:tbl>
      <w:tblPr>
        <w:tblW w:type="auto" w:w="0"/>
        <w:tblLayout w:type="fixed"/>
        <w:tblLook w:firstColumn="1" w:firstRow="1" w:lastColumn="0" w:lastRow="0" w:noHBand="0" w:noVBand="1" w:val="04A0"/>
      </w:tblPr>
      <w:tblGrid>
        <w:gridCol w:w="7195"/>
        <w:gridCol w:w="7195"/>
      </w:tblGrid>
      <w:tr>
        <w:tc>
          <w:tcPr>
            <w:tcW w:type="dxa" w:w="7200"/>
          </w:tcPr>
          <w:p>
            <w:pPr>
              <w:spacing w:after="100"/>
            </w:pPr>
            <w:r/>
            <w:r>
              <w:rPr>
                <w:color w:val="8A94A0"/>
                <w:sz w:val="17"/>
              </w:rPr>
              <w:t xml:space="preserve">01   </w:t>
            </w:r>
            <w:r>
              <w:rPr>
                <w:b/>
                <w:color w:val="18202A"/>
                <w:sz w:val="19"/>
              </w:rPr>
              <w:t>How to read this</w:t>
            </w:r>
          </w:p>
          <w:p>
            <w:pPr>
              <w:spacing w:after="100"/>
              <w:ind w:left="403"/>
            </w:pPr>
            <w:r>
              <w:rPr>
                <w:color w:val="5C6672"/>
                <w:sz w:val="16"/>
              </w:rPr>
              <w:t>How the document narrows its lens, from the whole platform to a single byte on disk.</w:t>
            </w:r>
          </w:p>
          <w:p>
            <w:pPr>
              <w:spacing w:after="100"/>
            </w:pPr>
            <w:r>
              <w:rPr>
                <w:color w:val="8A94A0"/>
                <w:sz w:val="17"/>
              </w:rPr>
              <w:t xml:space="preserve">02   </w:t>
            </w:r>
            <w:r>
              <w:rPr>
                <w:b/>
                <w:color w:val="18202A"/>
                <w:sz w:val="19"/>
              </w:rPr>
              <w:t>Level 1 — the context map</w:t>
            </w:r>
          </w:p>
          <w:p>
            <w:pPr>
              <w:spacing w:after="100"/>
              <w:ind w:left="403"/>
            </w:pPr>
            <w:r>
              <w:rPr>
                <w:color w:val="5C6672"/>
                <w:sz w:val="16"/>
              </w:rPr>
              <w:t>The seven contexts, the aggregates each owns, and the direction knowledge travels between them.</w:t>
            </w:r>
          </w:p>
          <w:p>
            <w:pPr>
              <w:spacing w:after="100"/>
            </w:pPr>
            <w:r>
              <w:rPr>
                <w:color w:val="8A94A0"/>
                <w:sz w:val="17"/>
              </w:rPr>
              <w:t xml:space="preserve">03   </w:t>
            </w:r>
            <w:r>
              <w:rPr>
                <w:b/>
                <w:color w:val="18202A"/>
                <w:sz w:val="19"/>
              </w:rPr>
              <w:t>Level 2 — the envelope, the only thing that travels</w:t>
            </w:r>
          </w:p>
          <w:p>
            <w:pPr>
              <w:spacing w:after="100"/>
              <w:ind w:left="403"/>
            </w:pPr>
            <w:r>
              <w:rPr>
                <w:color w:val="5C6672"/>
                <w:sz w:val="16"/>
              </w:rPr>
              <w:t>The one object that crosses every boundary, and the hops that record what happened to it.</w:t>
            </w:r>
          </w:p>
          <w:p>
            <w:pPr>
              <w:spacing w:after="100"/>
            </w:pPr>
            <w:r>
              <w:rPr>
                <w:color w:val="8A94A0"/>
                <w:sz w:val="17"/>
              </w:rPr>
              <w:t xml:space="preserve">04   </w:t>
            </w:r>
            <w:r>
              <w:rPr>
                <w:b/>
                <w:color w:val="18202A"/>
                <w:sz w:val="19"/>
              </w:rPr>
              <w:t>Level 3 — market data, the only process that talks to the exchange</w:t>
            </w:r>
          </w:p>
          <w:p>
            <w:pPr>
              <w:spacing w:after="100"/>
              <w:ind w:left="403"/>
            </w:pPr>
            <w:r>
              <w:rPr>
                <w:color w:val="5C6672"/>
                <w:sz w:val="16"/>
              </w:rPr>
              <w:t>How an exchange socket becomes topics: shards, a single parse, in-memory state, and a publisher that cannot block the read.</w:t>
            </w:r>
          </w:p>
          <w:p>
            <w:pPr>
              <w:spacing w:after="100"/>
            </w:pPr>
            <w:r>
              <w:rPr>
                <w:color w:val="8A94A0"/>
                <w:sz w:val="17"/>
              </w:rPr>
              <w:t xml:space="preserve">05   </w:t>
            </w:r>
            <w:r>
              <w:rPr>
                <w:b/>
                <w:color w:val="18202A"/>
                <w:sz w:val="19"/>
              </w:rPr>
              <w:t>Level 3 — the book, the aggregate that decides</w:t>
            </w:r>
          </w:p>
          <w:p>
            <w:pPr>
              <w:spacing w:after="100"/>
              <w:ind w:left="403"/>
            </w:pPr>
            <w:r>
              <w:rPr>
                <w:color w:val="5C6672"/>
                <w:sz w:val="16"/>
              </w:rPr>
              <w:t>The aggregate that decides: equity, positions, the decisions that opened them and the refusals that did not.</w:t>
            </w:r>
          </w:p>
          <w:p>
            <w:pPr>
              <w:spacing w:after="100"/>
            </w:pPr>
            <w:r>
              <w:rPr>
                <w:color w:val="8A94A0"/>
                <w:sz w:val="17"/>
              </w:rPr>
              <w:t xml:space="preserve">06   </w:t>
            </w:r>
            <w:r>
              <w:rPr>
                <w:b/>
                <w:color w:val="18202A"/>
                <w:sz w:val="19"/>
              </w:rPr>
              <w:t>Level 3 — the gate, what must pass before money moves</w:t>
            </w:r>
          </w:p>
          <w:p>
            <w:pPr>
              <w:spacing w:after="100"/>
              <w:ind w:left="403"/>
            </w:pPr>
            <w:r>
              <w:rPr>
                <w:color w:val="5C6672"/>
                <w:sz w:val="16"/>
              </w:rPr>
              <w:t>The order of the gate — identity and freshness before arithmetic — and the exit policy that books losses.</w:t>
            </w:r>
          </w:p>
          <w:p>
            <w:pPr>
              <w:spacing w:after="100"/>
            </w:pPr>
            <w:r>
              <w:rPr>
                <w:color w:val="8A94A0"/>
                <w:sz w:val="17"/>
              </w:rPr>
              <w:t xml:space="preserve">07   </w:t>
            </w:r>
            <w:r>
              <w:rPr>
                <w:b/>
                <w:color w:val="18202A"/>
                <w:sz w:val="19"/>
              </w:rPr>
              <w:t>Level 3 — the recorder, the only writer</w:t>
            </w:r>
          </w:p>
          <w:p>
            <w:pPr>
              <w:spacing w:after="100"/>
              <w:ind w:left="403"/>
            </w:pPr>
            <w:r>
              <w:rPr>
                <w:color w:val="5C6672"/>
                <w:sz w:val="16"/>
              </w:rPr>
              <w:t>The only writer of the record, and the derived references it attaches when a producer did not declare its inputs.</w:t>
            </w:r>
          </w:p>
        </w:tc>
        <w:tc>
          <w:tcPr>
            <w:tcW w:type="dxa" w:w="7200"/>
          </w:tcPr>
          <w:p>
            <w:pPr>
              <w:spacing w:after="100"/>
            </w:pPr>
            <w:r/>
            <w:r>
              <w:rPr>
                <w:color w:val="8A94A0"/>
                <w:sz w:val="17"/>
              </w:rPr>
              <w:t xml:space="preserve">08   </w:t>
            </w:r>
            <w:r>
              <w:rPr>
                <w:b/>
                <w:color w:val="18202A"/>
                <w:sz w:val="19"/>
              </w:rPr>
              <w:t>Level 3 — control, what may change behaviour</w:t>
            </w:r>
          </w:p>
          <w:p>
            <w:pPr>
              <w:spacing w:after="100"/>
              <w:ind w:left="403"/>
            </w:pPr>
            <w:r>
              <w:rPr>
                <w:color w:val="5C6672"/>
                <w:sz w:val="16"/>
              </w:rPr>
              <w:t>What may change behaviour — supervise and stop — and what STOP must never touch.</w:t>
            </w:r>
          </w:p>
          <w:p>
            <w:pPr>
              <w:spacing w:after="100"/>
            </w:pPr>
            <w:r>
              <w:rPr>
                <w:color w:val="8A94A0"/>
                <w:sz w:val="17"/>
              </w:rPr>
              <w:t xml:space="preserve">09   </w:t>
            </w:r>
            <w:r>
              <w:rPr>
                <w:b/>
                <w:color w:val="18202A"/>
                <w:sz w:val="19"/>
              </w:rPr>
              <w:t>Level 4 — the lake, what is actually on disk</w:t>
            </w:r>
          </w:p>
          <w:p>
            <w:pPr>
              <w:spacing w:after="100"/>
              <w:ind w:left="403"/>
            </w:pPr>
            <w:r>
              <w:rPr>
                <w:color w:val="5C6672"/>
                <w:sz w:val="16"/>
              </w:rPr>
              <w:t>What is actually on disk: the journal, its line format, the index that avoids scanning it, and retention.</w:t>
            </w:r>
          </w:p>
          <w:p>
            <w:pPr>
              <w:spacing w:after="100"/>
            </w:pPr>
            <w:r>
              <w:rPr>
                <w:color w:val="8A94A0"/>
                <w:sz w:val="17"/>
              </w:rPr>
              <w:t xml:space="preserve">10   </w:t>
            </w:r>
            <w:r>
              <w:rPr>
                <w:b/>
                <w:color w:val="18202A"/>
                <w:sz w:val="19"/>
              </w:rPr>
              <w:t>Level 4 — the data stores, as they exist</w:t>
            </w:r>
          </w:p>
          <w:p>
            <w:pPr>
              <w:spacing w:after="100"/>
              <w:ind w:left="403"/>
            </w:pPr>
            <w:r>
              <w:rPr>
                <w:color w:val="5C6672"/>
                <w:sz w:val="16"/>
              </w:rPr>
              <w:t>Every place data is actually written on this machine, in which format, by which process, for how long.</w:t>
            </w:r>
          </w:p>
          <w:p>
            <w:pPr>
              <w:spacing w:after="100"/>
            </w:pPr>
            <w:r>
              <w:rPr>
                <w:color w:val="8A94A0"/>
                <w:sz w:val="17"/>
              </w:rPr>
              <w:t xml:space="preserve">11   </w:t>
            </w:r>
            <w:r>
              <w:rPr>
                <w:b/>
                <w:color w:val="18202A"/>
                <w:sz w:val="19"/>
              </w:rPr>
              <w:t>Level 4 — how the lake chooses</w:t>
            </w:r>
          </w:p>
          <w:p>
            <w:pPr>
              <w:spacing w:after="100"/>
              <w:ind w:left="403"/>
            </w:pPr>
            <w:r>
              <w:rPr>
                <w:color w:val="5C6672"/>
                <w:sz w:val="16"/>
              </w:rPr>
              <w:t>The decision tree that decides which store receives an envelope, how long it lives, and when a segment is sealed.</w:t>
            </w:r>
          </w:p>
          <w:p>
            <w:pPr>
              <w:spacing w:after="100"/>
            </w:pPr>
            <w:r>
              <w:rPr>
                <w:color w:val="8A94A0"/>
                <w:sz w:val="17"/>
              </w:rPr>
              <w:t xml:space="preserve">12   </w:t>
            </w:r>
            <w:r>
              <w:rPr>
                <w:b/>
                <w:color w:val="18202A"/>
                <w:sz w:val="19"/>
              </w:rPr>
              <w:t>Level 5 — beneath the lake</w:t>
            </w:r>
          </w:p>
          <w:p>
            <w:pPr>
              <w:spacing w:after="100"/>
              <w:ind w:left="403"/>
            </w:pPr>
            <w:r>
              <w:rPr>
                <w:color w:val="5C6672"/>
                <w:sz w:val="16"/>
              </w:rPr>
              <w:t>The filesystem properties that let a case file be called evidence a year later.</w:t>
            </w:r>
          </w:p>
          <w:p>
            <w:pPr>
              <w:spacing w:after="100"/>
            </w:pPr>
            <w:r>
              <w:rPr>
                <w:color w:val="8A94A0"/>
                <w:sz w:val="17"/>
              </w:rPr>
              <w:t xml:space="preserve">13   </w:t>
            </w:r>
            <w:r>
              <w:rPr>
                <w:b/>
                <w:color w:val="18202A"/>
                <w:sz w:val="19"/>
              </w:rPr>
              <w:t>Crossing concerns — time, identity and generations</w:t>
            </w:r>
          </w:p>
          <w:p>
            <w:pPr>
              <w:spacing w:after="100"/>
              <w:ind w:left="403"/>
            </w:pPr>
            <w:r>
              <w:rPr>
                <w:color w:val="5C6672"/>
                <w:sz w:val="16"/>
              </w:rPr>
              <w:t>Time, identity and generations, modelled once in the envelope rather than per context.</w:t>
            </w:r>
          </w:p>
          <w:p>
            <w:pPr>
              <w:spacing w:after="100"/>
            </w:pPr>
            <w:r>
              <w:rPr>
                <w:color w:val="8A94A0"/>
                <w:sz w:val="17"/>
              </w:rPr>
              <w:t xml:space="preserve">14   </w:t>
            </w:r>
            <w:r>
              <w:rPr>
                <w:b/>
                <w:color w:val="18202A"/>
                <w:sz w:val="19"/>
              </w:rPr>
              <w:t>What the model deliberately refuses to do</w:t>
            </w:r>
          </w:p>
          <w:p>
            <w:pPr>
              <w:spacing w:after="100"/>
              <w:ind w:left="403"/>
            </w:pPr>
            <w:r>
              <w:rPr>
                <w:color w:val="5C6672"/>
                <w:sz w:val="16"/>
              </w:rPr>
              <w:t>The boundaries the model will not pretend to cross, stated so they can be argued with.</w:t>
            </w:r>
          </w:p>
        </w:tc>
      </w:tr>
    </w:tbl>
    <w:p>
      <w:pPr>
        <w:spacing w:before="200" w:after="40"/>
      </w:pPr>
      <w:r>
        <w:rPr>
          <w:b/>
          <w:color w:val="8A94A0"/>
          <w:sz w:val="16"/>
        </w:rPr>
        <w:t>FIGURES</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FIG</w:t>
            </w:r>
          </w:p>
        </w:tc>
        <w:tc>
          <w:tcPr>
            <w:tcW w:type="dxa" w:w="4797"/>
            <w:shd w:fill="F1F4F7"/>
          </w:tcPr>
          <w:p>
            <w:r/>
            <w:r>
              <w:rPr>
                <w:b/>
                <w:color w:val="5C6672"/>
                <w:sz w:val="14"/>
              </w:rPr>
              <w:t>FIGURE</w:t>
            </w:r>
          </w:p>
        </w:tc>
        <w:tc>
          <w:tcPr>
            <w:tcW w:type="dxa" w:w="4797"/>
            <w:shd w:fill="F1F4F7"/>
          </w:tcPr>
          <w:p>
            <w:r/>
            <w:r>
              <w:rPr>
                <w:b/>
                <w:color w:val="5C6672"/>
                <w:sz w:val="14"/>
              </w:rPr>
              <w:t>WHAT IT SHOWS</w:t>
            </w:r>
          </w:p>
        </w:tc>
      </w:tr>
      <w:tr>
        <w:tc>
          <w:tcPr>
            <w:tcW w:type="dxa" w:w="4797"/>
          </w:tcPr>
          <w:p>
            <w:r/>
            <w:r>
              <w:rPr>
                <w:sz w:val="15"/>
              </w:rPr>
              <w:t>1</w:t>
            </w:r>
          </w:p>
        </w:tc>
        <w:tc>
          <w:tcPr>
            <w:tcW w:type="dxa" w:w="4797"/>
          </w:tcPr>
          <w:p>
            <w:r/>
            <w:r>
              <w:rPr>
                <w:sz w:val="15"/>
              </w:rPr>
              <w:t>The context map</w:t>
            </w:r>
          </w:p>
        </w:tc>
        <w:tc>
          <w:tcPr>
            <w:tcW w:type="dxa" w:w="4797"/>
          </w:tcPr>
          <w:p>
            <w:r/>
            <w:r>
              <w:rPr>
                <w:sz w:val="15"/>
              </w:rPr>
              <w:t>seven contexts, their aggregates, the flow between them</w:t>
            </w:r>
          </w:p>
        </w:tc>
      </w:tr>
      <w:tr>
        <w:tc>
          <w:tcPr>
            <w:tcW w:type="dxa" w:w="4797"/>
          </w:tcPr>
          <w:p>
            <w:r/>
            <w:r>
              <w:rPr>
                <w:sz w:val="15"/>
              </w:rPr>
              <w:t>2</w:t>
            </w:r>
          </w:p>
        </w:tc>
        <w:tc>
          <w:tcPr>
            <w:tcW w:type="dxa" w:w="4797"/>
          </w:tcPr>
          <w:p>
            <w:r/>
            <w:r>
              <w:rPr>
                <w:sz w:val="15"/>
              </w:rPr>
              <w:t>The envelope</w:t>
            </w:r>
          </w:p>
        </w:tc>
        <w:tc>
          <w:tcPr>
            <w:tcW w:type="dxa" w:w="4797"/>
          </w:tcPr>
          <w:p>
            <w:r/>
            <w:r>
              <w:rPr>
                <w:sz w:val="15"/>
              </w:rPr>
              <w:t>data, meta, refs, and the hops appended along the way</w:t>
            </w:r>
          </w:p>
        </w:tc>
      </w:tr>
      <w:tr>
        <w:tc>
          <w:tcPr>
            <w:tcW w:type="dxa" w:w="4797"/>
          </w:tcPr>
          <w:p>
            <w:r/>
            <w:r>
              <w:rPr>
                <w:sz w:val="15"/>
              </w:rPr>
              <w:t>3</w:t>
            </w:r>
          </w:p>
        </w:tc>
        <w:tc>
          <w:tcPr>
            <w:tcW w:type="dxa" w:w="4797"/>
          </w:tcPr>
          <w:p>
            <w:r/>
            <w:r>
              <w:rPr>
                <w:sz w:val="15"/>
              </w:rPr>
              <w:t>Market data</w:t>
            </w:r>
          </w:p>
        </w:tc>
        <w:tc>
          <w:tcPr>
            <w:tcW w:type="dxa" w:w="4797"/>
          </w:tcPr>
          <w:p>
            <w:r/>
            <w:r>
              <w:rPr>
                <w:sz w:val="15"/>
              </w:rPr>
              <w:t>shards, parse, state, topics — and a publisher off the read path</w:t>
            </w:r>
          </w:p>
        </w:tc>
      </w:tr>
      <w:tr>
        <w:tc>
          <w:tcPr>
            <w:tcW w:type="dxa" w:w="4797"/>
          </w:tcPr>
          <w:p>
            <w:r/>
            <w:r>
              <w:rPr>
                <w:sz w:val="15"/>
              </w:rPr>
              <w:t>4</w:t>
            </w:r>
          </w:p>
        </w:tc>
        <w:tc>
          <w:tcPr>
            <w:tcW w:type="dxa" w:w="4797"/>
          </w:tcPr>
          <w:p>
            <w:r/>
            <w:r>
              <w:rPr>
                <w:sz w:val="15"/>
              </w:rPr>
              <w:t>The book aggregate</w:t>
            </w:r>
          </w:p>
        </w:tc>
        <w:tc>
          <w:tcPr>
            <w:tcW w:type="dxa" w:w="4797"/>
          </w:tcPr>
          <w:p>
            <w:r/>
            <w:r>
              <w:rPr>
                <w:sz w:val="15"/>
              </w:rPr>
              <w:t>equity, positions, trades, decisions, refusals</w:t>
            </w:r>
          </w:p>
        </w:tc>
      </w:tr>
      <w:tr>
        <w:tc>
          <w:tcPr>
            <w:tcW w:type="dxa" w:w="4797"/>
          </w:tcPr>
          <w:p>
            <w:r/>
            <w:r>
              <w:rPr>
                <w:sz w:val="15"/>
              </w:rPr>
              <w:t>5</w:t>
            </w:r>
          </w:p>
        </w:tc>
        <w:tc>
          <w:tcPr>
            <w:tcW w:type="dxa" w:w="4797"/>
          </w:tcPr>
          <w:p>
            <w:r/>
            <w:r>
              <w:rPr>
                <w:sz w:val="15"/>
              </w:rPr>
              <w:t>The gate</w:t>
            </w:r>
          </w:p>
        </w:tc>
        <w:tc>
          <w:tcPr>
            <w:tcW w:type="dxa" w:w="4797"/>
          </w:tcPr>
          <w:p>
            <w:r/>
            <w:r>
              <w:rPr>
                <w:sz w:val="15"/>
              </w:rPr>
              <w:t>interceptors before arithmetic, and the exit policy</w:t>
            </w:r>
          </w:p>
        </w:tc>
      </w:tr>
      <w:tr>
        <w:tc>
          <w:tcPr>
            <w:tcW w:type="dxa" w:w="4797"/>
          </w:tcPr>
          <w:p>
            <w:r/>
            <w:r>
              <w:rPr>
                <w:sz w:val="15"/>
              </w:rPr>
              <w:t>6</w:t>
            </w:r>
          </w:p>
        </w:tc>
        <w:tc>
          <w:tcPr>
            <w:tcW w:type="dxa" w:w="4797"/>
          </w:tcPr>
          <w:p>
            <w:r/>
            <w:r>
              <w:rPr>
                <w:sz w:val="15"/>
              </w:rPr>
              <w:t>The recorder</w:t>
            </w:r>
          </w:p>
        </w:tc>
        <w:tc>
          <w:tcPr>
            <w:tcW w:type="dxa" w:w="4797"/>
          </w:tcPr>
          <w:p>
            <w:r/>
            <w:r>
              <w:rPr>
                <w:sz w:val="15"/>
              </w:rPr>
              <w:t>one writer, hops recorded, derived references attached</w:t>
            </w:r>
          </w:p>
        </w:tc>
      </w:tr>
      <w:tr>
        <w:tc>
          <w:tcPr>
            <w:tcW w:type="dxa" w:w="4797"/>
          </w:tcPr>
          <w:p>
            <w:r/>
            <w:r>
              <w:rPr>
                <w:sz w:val="15"/>
              </w:rPr>
              <w:t>7</w:t>
            </w:r>
          </w:p>
        </w:tc>
        <w:tc>
          <w:tcPr>
            <w:tcW w:type="dxa" w:w="4797"/>
          </w:tcPr>
          <w:p>
            <w:r/>
            <w:r>
              <w:rPr>
                <w:sz w:val="15"/>
              </w:rPr>
              <w:t>The lake</w:t>
            </w:r>
          </w:p>
        </w:tc>
        <w:tc>
          <w:tcPr>
            <w:tcW w:type="dxa" w:w="4797"/>
          </w:tcPr>
          <w:p>
            <w:r/>
            <w:r>
              <w:rPr>
                <w:sz w:val="15"/>
              </w:rPr>
              <w:t>journal, line format, index, retention, replay</w:t>
            </w:r>
          </w:p>
        </w:tc>
      </w:tr>
      <w:tr>
        <w:tc>
          <w:tcPr>
            <w:tcW w:type="dxa" w:w="4797"/>
          </w:tcPr>
          <w:p>
            <w:r/>
            <w:r>
              <w:rPr>
                <w:sz w:val="15"/>
              </w:rPr>
              <w:t>8</w:t>
            </w:r>
          </w:p>
        </w:tc>
        <w:tc>
          <w:tcPr>
            <w:tcW w:type="dxa" w:w="4797"/>
          </w:tcPr>
          <w:p>
            <w:r/>
            <w:r>
              <w:rPr>
                <w:sz w:val="15"/>
              </w:rPr>
              <w:t>Control</w:t>
            </w:r>
          </w:p>
        </w:tc>
        <w:tc>
          <w:tcPr>
            <w:tcW w:type="dxa" w:w="4797"/>
          </w:tcPr>
          <w:p>
            <w:r/>
            <w:r>
              <w:rPr>
                <w:sz w:val="15"/>
              </w:rPr>
              <w:t>supervise, stop, and what STOP must never touch</w:t>
            </w:r>
          </w:p>
        </w:tc>
      </w:tr>
      <w:tr>
        <w:tc>
          <w:tcPr>
            <w:tcW w:type="dxa" w:w="4797"/>
          </w:tcPr>
          <w:p>
            <w:r/>
            <w:r>
              <w:rPr>
                <w:sz w:val="15"/>
              </w:rPr>
              <w:t>9</w:t>
            </w:r>
          </w:p>
        </w:tc>
        <w:tc>
          <w:tcPr>
            <w:tcW w:type="dxa" w:w="4797"/>
          </w:tcPr>
          <w:p>
            <w:r/>
            <w:r>
              <w:rPr>
                <w:sz w:val="15"/>
              </w:rPr>
              <w:t>Data stores</w:t>
            </w:r>
          </w:p>
        </w:tc>
        <w:tc>
          <w:tcPr>
            <w:tcW w:type="dxa" w:w="4797"/>
          </w:tcPr>
          <w:p>
            <w:r/>
            <w:r>
              <w:rPr>
                <w:sz w:val="15"/>
              </w:rPr>
              <w:t>every store on disk: format, writer, reader, lifetime</w:t>
            </w:r>
          </w:p>
        </w:tc>
      </w:tr>
      <w:tr>
        <w:tc>
          <w:tcPr>
            <w:tcW w:type="dxa" w:w="4797"/>
          </w:tcPr>
          <w:p>
            <w:r/>
            <w:r>
              <w:rPr>
                <w:sz w:val="15"/>
              </w:rPr>
              <w:t>10</w:t>
            </w:r>
          </w:p>
        </w:tc>
        <w:tc>
          <w:tcPr>
            <w:tcW w:type="dxa" w:w="4797"/>
          </w:tcPr>
          <w:p>
            <w:r/>
            <w:r>
              <w:rPr>
                <w:sz w:val="15"/>
              </w:rPr>
              <w:t>How the lake chooses</w:t>
            </w:r>
          </w:p>
        </w:tc>
        <w:tc>
          <w:tcPr>
            <w:tcW w:type="dxa" w:w="4797"/>
          </w:tcPr>
          <w:p>
            <w:r/>
            <w:r>
              <w:rPr>
                <w:sz w:val="15"/>
              </w:rPr>
              <w:t>the rules that decide where data lands and how long it lives</w:t>
            </w:r>
          </w:p>
        </w:tc>
      </w:tr>
    </w:tbl>
    <w:p>
      <w:pPr>
        <w:pageBreakBefore/>
        <w:spacing w:before="40" w:after="120"/>
      </w:pPr>
      <w:r>
        <w:rPr>
          <w:b/>
          <w:color w:val="8A94A0"/>
          <w:sz w:val="22"/>
        </w:rPr>
        <w:t xml:space="preserve">01   </w:t>
      </w:r>
      <w:r>
        <w:rPr>
          <w:b/>
          <w:color w:val="1B4A6F"/>
          <w:sz w:val="38"/>
        </w:rPr>
        <w:t>How to read this</w:t>
      </w:r>
    </w:p>
    <w:p>
      <w:pPr>
        <w:spacing w:before="0" w:after="160"/>
        <w:shd w:val="clear" w:fill="EEF3F8"/>
        <w:pBdr>
          <w:left w:val="single" w:sz="24" w:space="8" w:color="2E6DB4"/>
        </w:pBdr>
      </w:pPr>
      <w:r>
        <w:rPr>
          <w:b/>
          <w:color w:val="2E6DB4"/>
          <w:sz w:val="15"/>
        </w:rPr>
        <w:t xml:space="preserve">WHAT THIS SHOWS   </w:t>
      </w:r>
      <w:r>
        <w:rPr>
          <w:color w:val="18202A"/>
          <w:sz w:val="19"/>
        </w:rPr>
        <w:t>How the document narrows its lens, from the whole platform to a single byte on disk.</w:t>
      </w:r>
    </w:p>
    <w:p>
      <w:pPr>
        <w:spacing w:after="120"/>
      </w:pPr>
      <w:r>
        <w:rPr>
          <w:i w:val="0"/>
          <w:sz w:val="20"/>
        </w:rPr>
        <w:t>A domain model is an argument about what belongs together, not an inventory of files. Each level here narrows the lens: the contexts, then one context at a time, then the record, and finally the bytes underneath the record.</w:t>
      </w:r>
    </w:p>
    <w:p>
      <w:pPr>
        <w:spacing w:after="120"/>
      </w:pPr>
      <w:r>
        <w:rPr>
          <w:i w:val="0"/>
          <w:sz w:val="2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LEVEL</w:t>
            </w:r>
          </w:p>
        </w:tc>
        <w:tc>
          <w:tcPr>
            <w:tcW w:type="dxa" w:w="4797"/>
            <w:shd w:fill="F1F4F7"/>
          </w:tcPr>
          <w:p>
            <w:r/>
            <w:r>
              <w:rPr>
                <w:b/>
                <w:color w:val="5C6672"/>
                <w:sz w:val="14"/>
              </w:rPr>
              <w:t>QUESTION IT ANSWERS</w:t>
            </w:r>
          </w:p>
        </w:tc>
        <w:tc>
          <w:tcPr>
            <w:tcW w:type="dxa" w:w="4797"/>
            <w:shd w:fill="F1F4F7"/>
          </w:tcPr>
          <w:p>
            <w:r/>
            <w:r>
              <w:rPr>
                <w:b/>
                <w:color w:val="5C6672"/>
                <w:sz w:val="14"/>
              </w:rPr>
              <w:t>WHERE</w:t>
            </w:r>
          </w:p>
        </w:tc>
      </w:tr>
      <w:tr>
        <w:tc>
          <w:tcPr>
            <w:tcW w:type="dxa" w:w="4797"/>
          </w:tcPr>
          <w:p>
            <w:r/>
            <w:r>
              <w:rPr>
                <w:sz w:val="17"/>
              </w:rPr>
              <w:t>1</w:t>
            </w:r>
          </w:p>
        </w:tc>
        <w:tc>
          <w:tcPr>
            <w:tcW w:type="dxa" w:w="4797"/>
          </w:tcPr>
          <w:p>
            <w:r/>
            <w:r>
              <w:rPr>
                <w:sz w:val="17"/>
              </w:rPr>
              <w:t>what is this platform about?</w:t>
            </w:r>
          </w:p>
        </w:tc>
        <w:tc>
          <w:tcPr>
            <w:tcW w:type="dxa" w:w="4797"/>
          </w:tcPr>
          <w:p>
            <w:r/>
            <w:r>
              <w:rPr>
                <w:sz w:val="17"/>
              </w:rPr>
              <w:t>the context map</w:t>
            </w:r>
          </w:p>
        </w:tc>
      </w:tr>
      <w:tr>
        <w:tc>
          <w:tcPr>
            <w:tcW w:type="dxa" w:w="4797"/>
          </w:tcPr>
          <w:p>
            <w:r/>
            <w:r>
              <w:rPr>
                <w:sz w:val="17"/>
              </w:rPr>
              <w:t>2</w:t>
            </w:r>
          </w:p>
        </w:tc>
        <w:tc>
          <w:tcPr>
            <w:tcW w:type="dxa" w:w="4797"/>
          </w:tcPr>
          <w:p>
            <w:r/>
            <w:r>
              <w:rPr>
                <w:sz w:val="17"/>
              </w:rPr>
              <w:t>what travels between the parts?</w:t>
            </w:r>
          </w:p>
        </w:tc>
        <w:tc>
          <w:tcPr>
            <w:tcW w:type="dxa" w:w="4797"/>
          </w:tcPr>
          <w:p>
            <w:r/>
            <w:r>
              <w:rPr>
                <w:sz w:val="17"/>
              </w:rPr>
              <w:t>the envelope</w:t>
            </w:r>
          </w:p>
        </w:tc>
      </w:tr>
      <w:tr>
        <w:tc>
          <w:tcPr>
            <w:tcW w:type="dxa" w:w="4797"/>
          </w:tcPr>
          <w:p>
            <w:r/>
            <w:r>
              <w:rPr>
                <w:sz w:val="17"/>
              </w:rPr>
              <w:t>3</w:t>
            </w:r>
          </w:p>
        </w:tc>
        <w:tc>
          <w:tcPr>
            <w:tcW w:type="dxa" w:w="4797"/>
          </w:tcPr>
          <w:p>
            <w:r/>
            <w:r>
              <w:rPr>
                <w:sz w:val="17"/>
              </w:rPr>
              <w:t>what is inside one part?</w:t>
            </w:r>
          </w:p>
        </w:tc>
        <w:tc>
          <w:tcPr>
            <w:tcW w:type="dxa" w:w="4797"/>
          </w:tcPr>
          <w:p>
            <w:r/>
            <w:r>
              <w:rPr>
                <w:sz w:val="17"/>
              </w:rPr>
              <w:t>one figure per context</w:t>
            </w:r>
          </w:p>
        </w:tc>
      </w:tr>
      <w:tr>
        <w:tc>
          <w:tcPr>
            <w:tcW w:type="dxa" w:w="4797"/>
          </w:tcPr>
          <w:p>
            <w:r/>
            <w:r>
              <w:rPr>
                <w:sz w:val="17"/>
              </w:rPr>
              <w:t>4</w:t>
            </w:r>
          </w:p>
        </w:tc>
        <w:tc>
          <w:tcPr>
            <w:tcW w:type="dxa" w:w="4797"/>
          </w:tcPr>
          <w:p>
            <w:r/>
            <w:r>
              <w:rPr>
                <w:sz w:val="17"/>
              </w:rPr>
              <w:t>what is the record, and where does it live?</w:t>
            </w:r>
          </w:p>
        </w:tc>
        <w:tc>
          <w:tcPr>
            <w:tcW w:type="dxa" w:w="4797"/>
          </w:tcPr>
          <w:p>
            <w:r/>
            <w:r>
              <w:rPr>
                <w:sz w:val="17"/>
              </w:rPr>
              <w:t>the lake and the data stores</w:t>
            </w:r>
          </w:p>
        </w:tc>
      </w:tr>
      <w:tr>
        <w:tc>
          <w:tcPr>
            <w:tcW w:type="dxa" w:w="4797"/>
          </w:tcPr>
          <w:p>
            <w:r/>
            <w:r>
              <w:rPr>
                <w:sz w:val="17"/>
              </w:rPr>
              <w:t>5</w:t>
            </w:r>
          </w:p>
        </w:tc>
        <w:tc>
          <w:tcPr>
            <w:tcW w:type="dxa" w:w="4797"/>
          </w:tcPr>
          <w:p>
            <w:r/>
            <w:r>
              <w:rPr>
                <w:sz w:val="17"/>
              </w:rPr>
              <w:t>what is beneath the record?</w:t>
            </w:r>
          </w:p>
        </w:tc>
        <w:tc>
          <w:tcPr>
            <w:tcW w:type="dxa" w:w="4797"/>
          </w:tcPr>
          <w:p>
            <w:r/>
            <w:r>
              <w:rPr>
                <w:sz w:val="17"/>
              </w:rPr>
              <w:t>the filesystem</w:t>
            </w:r>
          </w:p>
        </w:tc>
      </w:tr>
    </w:tbl>
    <w:p>
      <w:pPr>
        <w:pageBreakBefore/>
        <w:spacing w:before="40" w:after="120"/>
      </w:pPr>
      <w:r>
        <w:rPr>
          <w:b/>
          <w:color w:val="8A94A0"/>
          <w:sz w:val="22"/>
        </w:rPr>
        <w:t xml:space="preserve">02   </w:t>
      </w:r>
      <w:r>
        <w:rPr>
          <w:b/>
          <w:color w:val="1B4A6F"/>
          <w:sz w:val="38"/>
        </w:rPr>
        <w:t>Level 1 — the context map</w:t>
      </w:r>
    </w:p>
    <w:p>
      <w:pPr>
        <w:spacing w:before="0" w:after="160"/>
        <w:shd w:val="clear" w:fill="EEF3F8"/>
        <w:pBdr>
          <w:left w:val="single" w:sz="24" w:space="8" w:color="2E6DB4"/>
        </w:pBdr>
      </w:pPr>
      <w:r>
        <w:rPr>
          <w:b/>
          <w:color w:val="2E6DB4"/>
          <w:sz w:val="15"/>
        </w:rPr>
        <w:t xml:space="preserve">WHAT THIS SHOWS   </w:t>
      </w:r>
      <w:r>
        <w:rPr>
          <w:color w:val="18202A"/>
          <w:sz w:val="19"/>
        </w:rPr>
        <w:t>The seven contexts, the aggregates each owns, and the direction knowledge travels between them.</w:t>
      </w:r>
    </w:p>
    <w:p>
      <w:pPr>
        <w:spacing w:after="40"/>
        <w:jc w:val="center"/>
      </w:pPr>
      <w:r>
        <w:drawing>
          <wp:inline xmlns:a="http://schemas.openxmlformats.org/drawingml/2006/main" xmlns:pic="http://schemas.openxmlformats.org/drawingml/2006/picture">
            <wp:extent cx="6291312" cy="2880360"/>
            <wp:docPr id="2" name="Picture 2"/>
            <wp:cNvGraphicFramePr>
              <a:graphicFrameLocks noChangeAspect="1"/>
            </wp:cNvGraphicFramePr>
            <a:graphic>
              <a:graphicData uri="http://schemas.openxmlformats.org/drawingml/2006/picture">
                <pic:pic>
                  <pic:nvPicPr>
                    <pic:cNvPr id="0" name="01-contexts.png"/>
                    <pic:cNvPicPr/>
                  </pic:nvPicPr>
                  <pic:blipFill>
                    <a:blip r:embed="rId11"/>
                    <a:stretch>
                      <a:fillRect/>
                    </a:stretch>
                  </pic:blipFill>
                  <pic:spPr>
                    <a:xfrm>
                      <a:off x="0" y="0"/>
                      <a:ext cx="6291312" cy="2880360"/>
                    </a:xfrm>
                    <a:prstGeom prst="rect"/>
                  </pic:spPr>
                </pic:pic>
              </a:graphicData>
            </a:graphic>
          </wp:inline>
        </w:drawing>
      </w:r>
    </w:p>
    <w:p>
      <w:pPr>
        <w:spacing w:after="120"/>
        <w:jc w:val="center"/>
      </w:pPr>
      <w:r>
        <w:rPr>
          <w:i/>
          <w:color w:val="8A94A0"/>
          <w:sz w:val="16"/>
        </w:rPr>
        <w:t>Figure 1 — The platform in one picture: contexts, the aggregates they own, and which way knowledge flows.</w:t>
      </w:r>
    </w:p>
    <w:p>
      <w:pPr>
        <w:spacing w:after="120"/>
      </w:pPr>
      <w:r>
        <w:rPr>
          <w:i w:val="0"/>
          <w:sz w:val="20"/>
        </w:rPr>
        <w:t>Seven contexts, arranged by the direction knowledge travels. Market data observes. Intelligence interprets. Books decide. Risk refuses. Recording writes. Forensics reads. Control may stop.</w:t>
      </w:r>
    </w:p>
    <w:p>
      <w:pPr>
        <w:spacing w:after="120"/>
      </w:pPr>
      <w:r>
        <w:rPr>
          <w:i w:val="0"/>
          <w:sz w:val="20"/>
        </w:rPr>
        <w:t>The arrows are not calls. Each one is a stream of envelopes on one bus, so a context can be stopped, restarted or replaced without the others knowing.</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CONTEXT</w:t>
            </w:r>
          </w:p>
        </w:tc>
        <w:tc>
          <w:tcPr>
            <w:tcW w:type="dxa" w:w="4797"/>
            <w:shd w:fill="F1F4F7"/>
          </w:tcPr>
          <w:p>
            <w:r/>
            <w:r>
              <w:rPr>
                <w:b/>
                <w:color w:val="5C6672"/>
                <w:sz w:val="14"/>
              </w:rPr>
              <w:t>OWNS</w:t>
            </w:r>
          </w:p>
        </w:tc>
        <w:tc>
          <w:tcPr>
            <w:tcW w:type="dxa" w:w="4797"/>
            <w:shd w:fill="F1F4F7"/>
          </w:tcPr>
          <w:p>
            <w:r/>
            <w:r>
              <w:rPr>
                <w:b/>
                <w:color w:val="5C6672"/>
                <w:sz w:val="14"/>
              </w:rPr>
              <w:t>MAY</w:t>
            </w:r>
          </w:p>
        </w:tc>
      </w:tr>
      <w:tr>
        <w:tc>
          <w:tcPr>
            <w:tcW w:type="dxa" w:w="4797"/>
          </w:tcPr>
          <w:p>
            <w:r/>
            <w:r>
              <w:rPr>
                <w:sz w:val="17"/>
              </w:rPr>
              <w:t>Market data</w:t>
            </w:r>
          </w:p>
        </w:tc>
        <w:tc>
          <w:tcPr>
            <w:tcW w:type="dxa" w:w="4797"/>
          </w:tcPr>
          <w:p>
            <w:r/>
            <w:r>
              <w:rPr>
                <w:sz w:val="17"/>
              </w:rPr>
              <w:t>the exchange connection, the price and depth state</w:t>
            </w:r>
          </w:p>
        </w:tc>
        <w:tc>
          <w:tcPr>
            <w:tcW w:type="dxa" w:w="4797"/>
          </w:tcPr>
          <w:p>
            <w:r/>
            <w:r>
              <w:rPr>
                <w:sz w:val="17"/>
              </w:rPr>
              <w:t>publish market.*</w:t>
            </w:r>
          </w:p>
        </w:tc>
      </w:tr>
      <w:tr>
        <w:tc>
          <w:tcPr>
            <w:tcW w:type="dxa" w:w="4797"/>
          </w:tcPr>
          <w:p>
            <w:r/>
            <w:r>
              <w:rPr>
                <w:sz w:val="17"/>
              </w:rPr>
              <w:t>Intelligence</w:t>
            </w:r>
          </w:p>
        </w:tc>
        <w:tc>
          <w:tcPr>
            <w:tcW w:type="dxa" w:w="4797"/>
          </w:tcPr>
          <w:p>
            <w:r/>
            <w:r>
              <w:rPr>
                <w:sz w:val="17"/>
              </w:rPr>
              <w:t>signals, flow, TA, forecasts</w:t>
            </w:r>
          </w:p>
        </w:tc>
        <w:tc>
          <w:tcPr>
            <w:tcW w:type="dxa" w:w="4797"/>
          </w:tcPr>
          <w:p>
            <w:r/>
            <w:r>
              <w:rPr>
                <w:sz w:val="17"/>
              </w:rPr>
              <w:t>publish intel.*</w:t>
            </w:r>
          </w:p>
        </w:tc>
      </w:tr>
      <w:tr>
        <w:tc>
          <w:tcPr>
            <w:tcW w:type="dxa" w:w="4797"/>
          </w:tcPr>
          <w:p>
            <w:r/>
            <w:r>
              <w:rPr>
                <w:sz w:val="17"/>
              </w:rPr>
              <w:t>Books</w:t>
            </w:r>
          </w:p>
        </w:tc>
        <w:tc>
          <w:tcPr>
            <w:tcW w:type="dxa" w:w="4797"/>
          </w:tcPr>
          <w:p>
            <w:r/>
            <w:r>
              <w:rPr>
                <w:sz w:val="17"/>
              </w:rPr>
              <w:t>equity, positions, trades, decisions, refusals</w:t>
            </w:r>
          </w:p>
        </w:tc>
        <w:tc>
          <w:tcPr>
            <w:tcW w:type="dxa" w:w="4797"/>
          </w:tcPr>
          <w:p>
            <w:r/>
            <w:r>
              <w:rPr>
                <w:sz w:val="17"/>
              </w:rPr>
              <w:t>publish model.*</w:t>
            </w:r>
          </w:p>
        </w:tc>
      </w:tr>
      <w:tr>
        <w:tc>
          <w:tcPr>
            <w:tcW w:type="dxa" w:w="4797"/>
          </w:tcPr>
          <w:p>
            <w:r/>
            <w:r>
              <w:rPr>
                <w:sz w:val="17"/>
              </w:rPr>
              <w:t>Risk &amp; execution</w:t>
            </w:r>
          </w:p>
        </w:tc>
        <w:tc>
          <w:tcPr>
            <w:tcW w:type="dxa" w:w="4797"/>
          </w:tcPr>
          <w:p>
            <w:r/>
            <w:r>
              <w:rPr>
                <w:sz w:val="17"/>
              </w:rPr>
              <w:t>the gate, the sizing rule, the exit policy</w:t>
            </w:r>
          </w:p>
        </w:tc>
        <w:tc>
          <w:tcPr>
            <w:tcW w:type="dxa" w:w="4797"/>
          </w:tcPr>
          <w:p>
            <w:r/>
            <w:r>
              <w:rPr>
                <w:sz w:val="17"/>
              </w:rPr>
              <w:t>allow or refuse</w:t>
            </w:r>
          </w:p>
        </w:tc>
      </w:tr>
      <w:tr>
        <w:tc>
          <w:tcPr>
            <w:tcW w:type="dxa" w:w="4797"/>
          </w:tcPr>
          <w:p>
            <w:r/>
            <w:r>
              <w:rPr>
                <w:sz w:val="17"/>
              </w:rPr>
              <w:t>Recording</w:t>
            </w:r>
          </w:p>
        </w:tc>
        <w:tc>
          <w:tcPr>
            <w:tcW w:type="dxa" w:w="4797"/>
          </w:tcPr>
          <w:p>
            <w:r/>
            <w:r>
              <w:rPr>
                <w:sz w:val="17"/>
              </w:rPr>
              <w:t>the envelope, the journal, derived references</w:t>
            </w:r>
          </w:p>
        </w:tc>
        <w:tc>
          <w:tcPr>
            <w:tcW w:type="dxa" w:w="4797"/>
          </w:tcPr>
          <w:p>
            <w:r/>
            <w:r>
              <w:rPr>
                <w:sz w:val="17"/>
              </w:rPr>
              <w:t>append to the lake</w:t>
            </w:r>
          </w:p>
        </w:tc>
      </w:tr>
      <w:tr>
        <w:tc>
          <w:tcPr>
            <w:tcW w:type="dxa" w:w="4797"/>
          </w:tcPr>
          <w:p>
            <w:r/>
            <w:r>
              <w:rPr>
                <w:sz w:val="17"/>
              </w:rPr>
              <w:t>Forensics</w:t>
            </w:r>
          </w:p>
        </w:tc>
        <w:tc>
          <w:tcPr>
            <w:tcW w:type="dxa" w:w="4797"/>
          </w:tcPr>
          <w:p>
            <w:r/>
            <w:r>
              <w:rPr>
                <w:sz w:val="17"/>
              </w:rPr>
              <w:t>case files, reports, search, journey</w:t>
            </w:r>
          </w:p>
        </w:tc>
        <w:tc>
          <w:tcPr>
            <w:tcW w:type="dxa" w:w="4797"/>
          </w:tcPr>
          <w:p>
            <w:r/>
            <w:r>
              <w:rPr>
                <w:sz w:val="17"/>
              </w:rPr>
              <w:t>read only</w:t>
            </w:r>
          </w:p>
        </w:tc>
      </w:tr>
      <w:tr>
        <w:tc>
          <w:tcPr>
            <w:tcW w:type="dxa" w:w="4797"/>
          </w:tcPr>
          <w:p>
            <w:r/>
            <w:r>
              <w:rPr>
                <w:sz w:val="17"/>
              </w:rPr>
              <w:t>Control</w:t>
            </w:r>
          </w:p>
        </w:tc>
        <w:tc>
          <w:tcPr>
            <w:tcW w:type="dxa" w:w="4797"/>
          </w:tcPr>
          <w:p>
            <w:r/>
            <w:r>
              <w:rPr>
                <w:sz w:val="17"/>
              </w:rPr>
              <w:t>trading state, the stop flag, the registries</w:t>
            </w:r>
          </w:p>
        </w:tc>
        <w:tc>
          <w:tcPr>
            <w:tcW w:type="dxa" w:w="4797"/>
          </w:tcPr>
          <w:p>
            <w:r/>
            <w:r>
              <w:rPr>
                <w:sz w:val="17"/>
              </w:rPr>
              <w:t>supervise, stop</w:t>
            </w:r>
          </w:p>
        </w:tc>
      </w:tr>
    </w:tbl>
    <w:p>
      <w:pPr>
        <w:pageBreakBefore/>
        <w:spacing w:before="40" w:after="120"/>
      </w:pPr>
      <w:r>
        <w:rPr>
          <w:b/>
          <w:color w:val="8A94A0"/>
          <w:sz w:val="22"/>
        </w:rPr>
        <w:t xml:space="preserve">03   </w:t>
      </w:r>
      <w:r>
        <w:rPr>
          <w:b/>
          <w:color w:val="1B4A6F"/>
          <w:sz w:val="38"/>
        </w:rPr>
        <w:t>Level 2 — the envelope, the only thing that travels</w:t>
      </w:r>
    </w:p>
    <w:p>
      <w:pPr>
        <w:spacing w:before="0" w:after="160"/>
        <w:shd w:val="clear" w:fill="EEF3F8"/>
        <w:pBdr>
          <w:left w:val="single" w:sz="24" w:space="8" w:color="2E6DB4"/>
        </w:pBdr>
      </w:pPr>
      <w:r>
        <w:rPr>
          <w:b/>
          <w:color w:val="2E6DB4"/>
          <w:sz w:val="15"/>
        </w:rPr>
        <w:t xml:space="preserve">WHAT THIS SHOWS   </w:t>
      </w:r>
      <w:r>
        <w:rPr>
          <w:color w:val="18202A"/>
          <w:sz w:val="19"/>
        </w:rPr>
        <w:t>The one object that crosses every boundary, and the hops that record what happened to it.</w:t>
      </w:r>
    </w:p>
    <w:p>
      <w:pPr>
        <w:spacing w:after="40"/>
        <w:jc w:val="center"/>
      </w:pPr>
      <w:r>
        <w:drawing>
          <wp:inline xmlns:a="http://schemas.openxmlformats.org/drawingml/2006/main" xmlns:pic="http://schemas.openxmlformats.org/drawingml/2006/picture">
            <wp:extent cx="8023206" cy="3383280"/>
            <wp:docPr id="3" name="Picture 3"/>
            <wp:cNvGraphicFramePr>
              <a:graphicFrameLocks noChangeAspect="1"/>
            </wp:cNvGraphicFramePr>
            <a:graphic>
              <a:graphicData uri="http://schemas.openxmlformats.org/drawingml/2006/picture">
                <pic:pic>
                  <pic:nvPicPr>
                    <pic:cNvPr id="0" name="02-envelope.png"/>
                    <pic:cNvPicPr/>
                  </pic:nvPicPr>
                  <pic:blipFill>
                    <a:blip r:embed="rId12"/>
                    <a:stretch>
                      <a:fillRect/>
                    </a:stretch>
                  </pic:blipFill>
                  <pic:spPr>
                    <a:xfrm>
                      <a:off x="0" y="0"/>
                      <a:ext cx="8023206" cy="3383280"/>
                    </a:xfrm>
                    <a:prstGeom prst="rect"/>
                  </pic:spPr>
                </pic:pic>
              </a:graphicData>
            </a:graphic>
          </wp:inline>
        </w:drawing>
      </w:r>
    </w:p>
    <w:p>
      <w:pPr>
        <w:spacing w:after="120"/>
        <w:jc w:val="center"/>
      </w:pPr>
      <w:r>
        <w:rPr>
          <w:i/>
          <w:color w:val="8A94A0"/>
          <w:sz w:val="16"/>
        </w:rPr>
        <w:t>Figure 2 — Three members, and the hops that prove what happened to the envelope on the way.</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tc>
        <w:tc>
          <w:tcPr>
            <w:tcW w:type="dxa" w:w="5472"/>
          </w:tcPr>
          <w:p>
            <w:pPr>
              <w:spacing w:after="40"/>
            </w:pPr>
            <w:r/>
            <w:r>
              <w:rPr>
                <w:color w:val="2E6DB4"/>
                <w:sz w:val="18"/>
              </w:rPr>
              <w:t xml:space="preserve">· </w:t>
            </w:r>
            <w:r>
              <w:rPr>
                <w:sz w:val="18"/>
              </w:rPr>
              <w:t>interceptors run first and append a hop each — authority, keying, freshness, correlation, redaction</w:t>
            </w:r>
          </w:p>
          <w:p>
            <w:pPr>
              <w:spacing w:after="40"/>
            </w:pPr>
            <w:r>
              <w:rPr>
                <w:color w:val="2E6DB4"/>
                <w:sz w:val="18"/>
              </w:rPr>
              <w:t xml:space="preserve">· </w:t>
            </w:r>
            <w:r>
              <w:rPr>
                <w:sz w:val="18"/>
              </w:rPr>
              <w:t>the operator produces the payload and appends a hop</w:t>
            </w:r>
          </w:p>
          <w:p>
            <w:pPr>
              <w:spacing w:after="40"/>
            </w:pPr>
            <w:r>
              <w:rPr>
                <w:color w:val="2E6DB4"/>
                <w:sz w:val="18"/>
              </w:rPr>
              <w:t xml:space="preserve">· </w:t>
            </w:r>
            <w:r>
              <w:rPr>
                <w:sz w:val="18"/>
              </w:rPr>
              <w:t>transformers may change the shape, never the truth, and append a hop</w:t>
            </w:r>
          </w:p>
          <w:p>
            <w:pPr>
              <w:spacing w:after="40"/>
            </w:pPr>
            <w:r>
              <w:rPr>
                <w:color w:val="2E6DB4"/>
                <w:sz w:val="18"/>
              </w:rPr>
              <w:t xml:space="preserve">· </w:t>
            </w:r>
            <w:r>
              <w:rPr>
                <w:sz w:val="18"/>
              </w:rPr>
              <w:t>a refusal is a hop with outcome refuse and the rule in its detail</w:t>
            </w:r>
          </w:p>
        </w:tc>
      </w:tr>
    </w:tbl>
    <w:p>
      <w:pPr>
        <w:spacing w:after="120"/>
      </w:pPr>
      <w:r>
        <w:rPr>
          <w:i w:val="0"/>
          <w:sz w:val="2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ageBreakBefore/>
        <w:spacing w:before="40" w:after="120"/>
      </w:pPr>
      <w:r>
        <w:rPr>
          <w:b/>
          <w:color w:val="8A94A0"/>
          <w:sz w:val="22"/>
        </w:rPr>
        <w:t xml:space="preserve">04   </w:t>
      </w:r>
      <w:r>
        <w:rPr>
          <w:b/>
          <w:color w:val="1B4A6F"/>
          <w:sz w:val="38"/>
        </w:rPr>
        <w:t>Level 3 — market data, the only process that talks to the exchange</w:t>
      </w:r>
    </w:p>
    <w:p>
      <w:pPr>
        <w:spacing w:before="0" w:after="160"/>
        <w:shd w:val="clear" w:fill="EEF3F8"/>
        <w:pBdr>
          <w:left w:val="single" w:sz="24" w:space="8" w:color="2E6DB4"/>
        </w:pBdr>
      </w:pPr>
      <w:r>
        <w:rPr>
          <w:b/>
          <w:color w:val="2E6DB4"/>
          <w:sz w:val="15"/>
        </w:rPr>
        <w:t xml:space="preserve">WHAT THIS SHOWS   </w:t>
      </w:r>
      <w:r>
        <w:rPr>
          <w:color w:val="18202A"/>
          <w:sz w:val="19"/>
        </w:rPr>
        <w:t>How an exchange socket becomes topics: shards, a single parse, in-memory state, and a publisher that cannot block the read.</w:t>
      </w:r>
    </w:p>
    <w:p>
      <w:pPr>
        <w:spacing w:after="40"/>
        <w:jc w:val="center"/>
      </w:pPr>
      <w:r>
        <w:drawing>
          <wp:inline xmlns:a="http://schemas.openxmlformats.org/drawingml/2006/main" xmlns:pic="http://schemas.openxmlformats.org/drawingml/2006/picture">
            <wp:extent cx="6830568" cy="2880360"/>
            <wp:docPr id="4" name="Picture 4"/>
            <wp:cNvGraphicFramePr>
              <a:graphicFrameLocks noChangeAspect="1"/>
            </wp:cNvGraphicFramePr>
            <a:graphic>
              <a:graphicData uri="http://schemas.openxmlformats.org/drawingml/2006/picture">
                <pic:pic>
                  <pic:nvPicPr>
                    <pic:cNvPr id="0" name="03-market-data.png"/>
                    <pic:cNvPicPr/>
                  </pic:nvPicPr>
                  <pic:blipFill>
                    <a:blip r:embed="rId13"/>
                    <a:stretch>
                      <a:fillRect/>
                    </a:stretch>
                  </pic:blipFill>
                  <pic:spPr>
                    <a:xfrm>
                      <a:off x="0" y="0"/>
                      <a:ext cx="6830568" cy="2880360"/>
                    </a:xfrm>
                    <a:prstGeom prst="rect"/>
                  </pic:spPr>
                </pic:pic>
              </a:graphicData>
            </a:graphic>
          </wp:inline>
        </w:drawing>
      </w:r>
    </w:p>
    <w:p>
      <w:pPr>
        <w:spacing w:after="120"/>
        <w:jc w:val="center"/>
      </w:pPr>
      <w:r>
        <w:rPr>
          <w:i/>
          <w:color w:val="8A94A0"/>
          <w:sz w:val="16"/>
        </w:rPr>
        <w:t>Figure 3 — Shards, one parse, in-memory state, then topics. Publishing never blocks the socket.</w:t>
      </w:r>
    </w:p>
    <w:p>
      <w:pPr>
        <w:spacing w:after="120"/>
      </w:pPr>
      <w:r>
        <w:rPr>
          <w:i w:val="0"/>
          <w:sz w:val="2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20"/>
      </w:pPr>
      <w:r>
        <w:rPr>
          <w:i w:val="0"/>
          <w:sz w:val="2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STATE</w:t>
            </w:r>
          </w:p>
        </w:tc>
        <w:tc>
          <w:tcPr>
            <w:tcW w:type="dxa" w:w="4797"/>
            <w:shd w:fill="F1F4F7"/>
          </w:tcPr>
          <w:p>
            <w:r/>
            <w:r>
              <w:rPr>
                <w:b/>
                <w:color w:val="5C6672"/>
                <w:sz w:val="14"/>
              </w:rPr>
              <w:t>FED BY</w:t>
            </w:r>
          </w:p>
        </w:tc>
        <w:tc>
          <w:tcPr>
            <w:tcW w:type="dxa" w:w="4797"/>
            <w:shd w:fill="F1F4F7"/>
          </w:tcPr>
          <w:p>
            <w:r/>
            <w:r>
              <w:rPr>
                <w:b/>
                <w:color w:val="5C6672"/>
                <w:sz w:val="14"/>
              </w:rPr>
              <w:t>SERVED BY</w:t>
            </w:r>
          </w:p>
        </w:tc>
      </w:tr>
      <w:tr>
        <w:tc>
          <w:tcPr>
            <w:tcW w:type="dxa" w:w="4797"/>
          </w:tcPr>
          <w:p>
            <w:r/>
            <w:r>
              <w:rPr>
                <w:sz w:val="17"/>
              </w:rPr>
              <w:t>Prices</w:t>
            </w:r>
          </w:p>
        </w:tc>
        <w:tc>
          <w:tcPr>
            <w:tcW w:type="dxa" w:w="4797"/>
          </w:tcPr>
          <w:p>
            <w:r/>
            <w:r>
              <w:rPr>
                <w:sz w:val="17"/>
              </w:rPr>
              <w:t>bookTicker</w:t>
            </w:r>
          </w:p>
        </w:tc>
        <w:tc>
          <w:tcPr>
            <w:tcW w:type="dxa" w:w="4797"/>
          </w:tcPr>
          <w:p>
            <w:r/>
            <w:r>
              <w:rPr>
                <w:sz w:val="17"/>
              </w:rPr>
              <w:t>GET /streamprices</w:t>
            </w:r>
          </w:p>
        </w:tc>
      </w:tr>
      <w:tr>
        <w:tc>
          <w:tcPr>
            <w:tcW w:type="dxa" w:w="4797"/>
          </w:tcPr>
          <w:p>
            <w:r/>
            <w:r>
              <w:rPr>
                <w:sz w:val="17"/>
              </w:rPr>
              <w:t>Books</w:t>
            </w:r>
          </w:p>
        </w:tc>
        <w:tc>
          <w:tcPr>
            <w:tcW w:type="dxa" w:w="4797"/>
          </w:tcPr>
          <w:p>
            <w:r/>
            <w:r>
              <w:rPr>
                <w:sz w:val="17"/>
              </w:rPr>
              <w:t>depth5</w:t>
            </w:r>
          </w:p>
        </w:tc>
        <w:tc>
          <w:tcPr>
            <w:tcW w:type="dxa" w:w="4797"/>
          </w:tcPr>
          <w:p>
            <w:r/>
            <w:r>
              <w:rPr>
                <w:sz w:val="17"/>
              </w:rPr>
              <w:t>GET /depth?symbol=</w:t>
            </w:r>
          </w:p>
        </w:tc>
      </w:tr>
      <w:tr>
        <w:tc>
          <w:tcPr>
            <w:tcW w:type="dxa" w:w="4797"/>
          </w:tcPr>
          <w:p>
            <w:r/>
            <w:r>
              <w:rPr>
                <w:sz w:val="17"/>
              </w:rPr>
              <w:t>Klines</w:t>
            </w:r>
          </w:p>
        </w:tc>
        <w:tc>
          <w:tcPr>
            <w:tcW w:type="dxa" w:w="4797"/>
          </w:tcPr>
          <w:p>
            <w:r/>
            <w:r>
              <w:rPr>
                <w:sz w:val="17"/>
              </w:rPr>
              <w:t>kline_1m / kline_5m</w:t>
            </w:r>
          </w:p>
        </w:tc>
        <w:tc>
          <w:tcPr>
            <w:tcW w:type="dxa" w:w="4797"/>
          </w:tcPr>
          <w:p>
            <w:r/>
            <w:r>
              <w:rPr>
                <w:sz w:val="17"/>
              </w:rPr>
              <w:t>GET /klines?symbol=&amp;interval=</w:t>
            </w:r>
          </w:p>
        </w:tc>
      </w:tr>
      <w:tr>
        <w:tc>
          <w:tcPr>
            <w:tcW w:type="dxa" w:w="4797"/>
          </w:tcPr>
          <w:p>
            <w:r/>
            <w:r>
              <w:rPr>
                <w:sz w:val="17"/>
              </w:rPr>
              <w:t>Mini stats</w:t>
            </w:r>
          </w:p>
        </w:tc>
        <w:tc>
          <w:tcPr>
            <w:tcW w:type="dxa" w:w="4797"/>
          </w:tcPr>
          <w:p>
            <w:r/>
            <w:r>
              <w:rPr>
                <w:sz w:val="17"/>
              </w:rPr>
              <w:t>miniTicker</w:t>
            </w:r>
          </w:p>
        </w:tc>
        <w:tc>
          <w:tcPr>
            <w:tcW w:type="dxa" w:w="4797"/>
          </w:tcPr>
          <w:p>
            <w:r/>
            <w:r>
              <w:rPr>
                <w:sz w:val="17"/>
              </w:rPr>
              <w:t>GET /movers</w:t>
            </w:r>
          </w:p>
        </w:tc>
      </w:tr>
    </w:tbl>
    <w:p>
      <w:pPr>
        <w:pageBreakBefore/>
        <w:spacing w:before="40" w:after="120"/>
      </w:pPr>
      <w:r>
        <w:rPr>
          <w:b/>
          <w:color w:val="8A94A0"/>
          <w:sz w:val="22"/>
        </w:rPr>
        <w:t xml:space="preserve">05   </w:t>
      </w:r>
      <w:r>
        <w:rPr>
          <w:b/>
          <w:color w:val="1B4A6F"/>
          <w:sz w:val="38"/>
        </w:rPr>
        <w:t>Level 3 — the book, the aggregate that decides</w:t>
      </w:r>
    </w:p>
    <w:p>
      <w:pPr>
        <w:spacing w:before="0" w:after="160"/>
        <w:shd w:val="clear" w:fill="EEF3F8"/>
        <w:pBdr>
          <w:left w:val="single" w:sz="24" w:space="8" w:color="2E6DB4"/>
        </w:pBdr>
      </w:pPr>
      <w:r>
        <w:rPr>
          <w:b/>
          <w:color w:val="2E6DB4"/>
          <w:sz w:val="15"/>
        </w:rPr>
        <w:t xml:space="preserve">WHAT THIS SHOWS   </w:t>
      </w:r>
      <w:r>
        <w:rPr>
          <w:color w:val="18202A"/>
          <w:sz w:val="19"/>
        </w:rPr>
        <w:t>The aggregate that decides: equity, positions, the decisions that opened them and the refusals that did not.</w:t>
      </w:r>
    </w:p>
    <w:p>
      <w:pPr>
        <w:spacing w:after="40"/>
        <w:jc w:val="center"/>
      </w:pPr>
      <w:r>
        <w:drawing>
          <wp:inline xmlns:a="http://schemas.openxmlformats.org/drawingml/2006/main" xmlns:pic="http://schemas.openxmlformats.org/drawingml/2006/picture">
            <wp:extent cx="8023206" cy="3383280"/>
            <wp:docPr id="5" name="Picture 5"/>
            <wp:cNvGraphicFramePr>
              <a:graphicFrameLocks noChangeAspect="1"/>
            </wp:cNvGraphicFramePr>
            <a:graphic>
              <a:graphicData uri="http://schemas.openxmlformats.org/drawingml/2006/picture">
                <pic:pic>
                  <pic:nvPicPr>
                    <pic:cNvPr id="0" name="04-book.png"/>
                    <pic:cNvPicPr/>
                  </pic:nvPicPr>
                  <pic:blipFill>
                    <a:blip r:embed="rId14"/>
                    <a:stretch>
                      <a:fillRect/>
                    </a:stretch>
                  </pic:blipFill>
                  <pic:spPr>
                    <a:xfrm>
                      <a:off x="0" y="0"/>
                      <a:ext cx="8023206" cy="3383280"/>
                    </a:xfrm>
                    <a:prstGeom prst="rect"/>
                  </pic:spPr>
                </pic:pic>
              </a:graphicData>
            </a:graphic>
          </wp:inline>
        </w:drawing>
      </w:r>
    </w:p>
    <w:p>
      <w:pPr>
        <w:spacing w:after="120"/>
        <w:jc w:val="center"/>
      </w:pPr>
      <w:r>
        <w:rPr>
          <w:i/>
          <w:color w:val="8A94A0"/>
          <w:sz w:val="16"/>
        </w:rPr>
        <w:t>Figure 4 — A book is one aggregate: equity, positions, and the decisions that produced them.</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tc>
        <w:tc>
          <w:tcPr>
            <w:tcW w:type="dxa" w:w="5472"/>
          </w:tcPr>
          <w:p>
            <w:pPr>
              <w:spacing w:after="40"/>
            </w:pPr>
            <w:r/>
            <w:r>
              <w:rPr>
                <w:color w:val="2E6DB4"/>
                <w:sz w:val="18"/>
              </w:rPr>
              <w:t xml:space="preserve">· </w:t>
            </w:r>
            <w:r>
              <w:rPr>
                <w:sz w:val="18"/>
              </w:rPr>
              <w:t>a position is never opened without an allowed decision</w:t>
            </w:r>
          </w:p>
          <w:p>
            <w:pPr>
              <w:spacing w:after="40"/>
            </w:pPr>
            <w:r>
              <w:rPr>
                <w:color w:val="2E6DB4"/>
                <w:sz w:val="18"/>
              </w:rPr>
              <w:t xml:space="preserve">· </w:t>
            </w:r>
            <w:r>
              <w:rPr>
                <w:sz w:val="18"/>
              </w:rPr>
              <w:t>a trade is only born from a position that existed</w:t>
            </w:r>
          </w:p>
          <w:p>
            <w:pPr>
              <w:spacing w:after="40"/>
            </w:pPr>
            <w:r>
              <w:rPr>
                <w:color w:val="2E6DB4"/>
                <w:sz w:val="18"/>
              </w:rPr>
              <w:t xml:space="preserve">· </w:t>
            </w:r>
            <w:r>
              <w:rPr>
                <w:sz w:val="18"/>
              </w:rPr>
              <w:t>equity moves only by a closed trade's net</w:t>
            </w:r>
          </w:p>
          <w:p>
            <w:pPr>
              <w:spacing w:after="40"/>
            </w:pPr>
            <w:r>
              <w:rPr>
                <w:color w:val="2E6DB4"/>
                <w:sz w:val="18"/>
              </w:rPr>
              <w:t xml:space="preserve">· </w:t>
            </w:r>
            <w:r>
              <w:rPr>
                <w:sz w:val="18"/>
              </w:rPr>
              <w:t>a refusal is recorded even though nothing was bought</w:t>
            </w:r>
          </w:p>
        </w:tc>
      </w:tr>
    </w:tbl>
    <w:p>
      <w:pPr>
        <w:spacing w:after="120"/>
      </w:pPr>
      <w:r>
        <w:rPr>
          <w:i w:val="0"/>
          <w:sz w:val="20"/>
        </w:rPr>
        <w:t>The refusals are the part most systems omit. A refusal carries the rule that stopped it and the number that tripped it, so the question 'why did it not trade' is answered by the same object as 'why did it trade'.</w:t>
      </w:r>
    </w:p>
    <w:p>
      <w:pPr>
        <w:pageBreakBefore/>
        <w:spacing w:before="40" w:after="120"/>
      </w:pPr>
      <w:r>
        <w:rPr>
          <w:b/>
          <w:color w:val="8A94A0"/>
          <w:sz w:val="22"/>
        </w:rPr>
        <w:t xml:space="preserve">06   </w:t>
      </w:r>
      <w:r>
        <w:rPr>
          <w:b/>
          <w:color w:val="1B4A6F"/>
          <w:sz w:val="38"/>
        </w:rPr>
        <w:t>Level 3 — the gate, what must pass before money moves</w:t>
      </w:r>
    </w:p>
    <w:p>
      <w:pPr>
        <w:spacing w:before="0" w:after="160"/>
        <w:shd w:val="clear" w:fill="EEF3F8"/>
        <w:pBdr>
          <w:left w:val="single" w:sz="24" w:space="8" w:color="2E6DB4"/>
        </w:pBdr>
      </w:pPr>
      <w:r>
        <w:rPr>
          <w:b/>
          <w:color w:val="2E6DB4"/>
          <w:sz w:val="15"/>
        </w:rPr>
        <w:t xml:space="preserve">WHAT THIS SHOWS   </w:t>
      </w:r>
      <w:r>
        <w:rPr>
          <w:color w:val="18202A"/>
          <w:sz w:val="19"/>
        </w:rPr>
        <w:t>The order of the gate — identity and freshness before arithmetic — and the exit policy that books losses.</w:t>
      </w:r>
    </w:p>
    <w:p>
      <w:pPr>
        <w:spacing w:after="40"/>
        <w:jc w:val="center"/>
      </w:pPr>
      <w:r>
        <w:drawing>
          <wp:inline xmlns:a="http://schemas.openxmlformats.org/drawingml/2006/main" xmlns:pic="http://schemas.openxmlformats.org/drawingml/2006/picture">
            <wp:extent cx="7244541" cy="2880360"/>
            <wp:docPr id="6" name="Picture 6"/>
            <wp:cNvGraphicFramePr>
              <a:graphicFrameLocks noChangeAspect="1"/>
            </wp:cNvGraphicFramePr>
            <a:graphic>
              <a:graphicData uri="http://schemas.openxmlformats.org/drawingml/2006/picture">
                <pic:pic>
                  <pic:nvPicPr>
                    <pic:cNvPr id="0" name="05-risk.png"/>
                    <pic:cNvPicPr/>
                  </pic:nvPicPr>
                  <pic:blipFill>
                    <a:blip r:embed="rId15"/>
                    <a:stretch>
                      <a:fillRect/>
                    </a:stretch>
                  </pic:blipFill>
                  <pic:spPr>
                    <a:xfrm>
                      <a:off x="0" y="0"/>
                      <a:ext cx="7244541" cy="2880360"/>
                    </a:xfrm>
                    <a:prstGeom prst="rect"/>
                  </pic:spPr>
                </pic:pic>
              </a:graphicData>
            </a:graphic>
          </wp:inline>
        </w:drawing>
      </w:r>
    </w:p>
    <w:p>
      <w:pPr>
        <w:spacing w:after="120"/>
        <w:jc w:val="center"/>
      </w:pPr>
      <w:r>
        <w:rPr>
          <w:i/>
          <w:color w:val="8A94A0"/>
          <w:sz w:val="16"/>
        </w:rPr>
        <w:t>Figure 5 — Interceptors, then the arithmetic. Every stage appends a hop, so a refusal explains itself.</w:t>
      </w:r>
    </w:p>
    <w:p>
      <w:pPr>
        <w:spacing w:after="120"/>
      </w:pPr>
      <w:r>
        <w:rPr>
          <w:i w:val="0"/>
          <w:sz w:val="20"/>
        </w:rPr>
        <w:t>The gate is ordered deliberately: identity and freshness before arithmetic. There is no point in sizing a trade on a signal that is four hours old, and no point in asking whether a stale signal is affordable.</w:t>
      </w:r>
    </w:p>
    <w:p>
      <w:pPr>
        <w:spacing w:after="120"/>
      </w:pPr>
      <w:r>
        <w:rPr>
          <w:i w:val="0"/>
          <w:sz w:val="2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CHECK</w:t>
            </w:r>
          </w:p>
        </w:tc>
        <w:tc>
          <w:tcPr>
            <w:tcW w:type="dxa" w:w="7195"/>
            <w:shd w:fill="F1F4F7"/>
          </w:tcPr>
          <w:p>
            <w:r/>
            <w:r>
              <w:rPr>
                <w:b/>
                <w:color w:val="5C6672"/>
                <w:sz w:val="14"/>
              </w:rPr>
              <w:t>REFUSES WHEN</w:t>
            </w:r>
          </w:p>
        </w:tc>
      </w:tr>
      <w:tr>
        <w:tc>
          <w:tcPr>
            <w:tcW w:type="dxa" w:w="7195"/>
          </w:tcPr>
          <w:p>
            <w:r/>
            <w:r>
              <w:rPr>
                <w:sz w:val="17"/>
              </w:rPr>
              <w:t>size</w:t>
            </w:r>
          </w:p>
        </w:tc>
        <w:tc>
          <w:tcPr>
            <w:tcW w:type="dxa" w:w="7195"/>
          </w:tcPr>
          <w:p>
            <w:r/>
            <w:r>
              <w:rPr>
                <w:sz w:val="17"/>
              </w:rPr>
              <w:t>notional is zero</w:t>
            </w:r>
          </w:p>
        </w:tc>
      </w:tr>
      <w:tr>
        <w:tc>
          <w:tcPr>
            <w:tcW w:type="dxa" w:w="7195"/>
          </w:tcPr>
          <w:p>
            <w:r/>
            <w:r>
              <w:rPr>
                <w:sz w:val="17"/>
              </w:rPr>
              <w:t>forecast age</w:t>
            </w:r>
          </w:p>
        </w:tc>
        <w:tc>
          <w:tcPr>
            <w:tcW w:type="dxa" w:w="7195"/>
          </w:tcPr>
          <w:p>
            <w:r/>
            <w:r>
              <w:rPr>
                <w:sz w:val="17"/>
              </w:rPr>
              <w:t>older than the limit</w:t>
            </w:r>
          </w:p>
        </w:tc>
      </w:tr>
      <w:tr>
        <w:tc>
          <w:tcPr>
            <w:tcW w:type="dxa" w:w="7195"/>
          </w:tcPr>
          <w:p>
            <w:r/>
            <w:r>
              <w:rPr>
                <w:sz w:val="17"/>
              </w:rPr>
              <w:t>signal age</w:t>
            </w:r>
          </w:p>
        </w:tc>
        <w:tc>
          <w:tcPr>
            <w:tcW w:type="dxa" w:w="7195"/>
          </w:tcPr>
          <w:p>
            <w:r/>
            <w:r>
              <w:rPr>
                <w:sz w:val="17"/>
              </w:rPr>
              <w:t>older than the limit</w:t>
            </w:r>
          </w:p>
        </w:tc>
      </w:tr>
      <w:tr>
        <w:tc>
          <w:tcPr>
            <w:tcW w:type="dxa" w:w="7195"/>
          </w:tcPr>
          <w:p>
            <w:r/>
            <w:r>
              <w:rPr>
                <w:sz w:val="17"/>
              </w:rPr>
              <w:t>kill switch</w:t>
            </w:r>
          </w:p>
        </w:tc>
        <w:tc>
          <w:tcPr>
            <w:tcW w:type="dxa" w:w="7195"/>
          </w:tcPr>
          <w:p>
            <w:r/>
            <w:r>
              <w:rPr>
                <w:sz w:val="17"/>
              </w:rPr>
              <w:t>the stop flag exists</w:t>
            </w:r>
          </w:p>
        </w:tc>
      </w:tr>
      <w:tr>
        <w:tc>
          <w:tcPr>
            <w:tcW w:type="dxa" w:w="7195"/>
          </w:tcPr>
          <w:p>
            <w:r/>
            <w:r>
              <w:rPr>
                <w:sz w:val="17"/>
              </w:rPr>
              <w:t>gross multiple</w:t>
            </w:r>
          </w:p>
        </w:tc>
        <w:tc>
          <w:tcPr>
            <w:tcW w:type="dxa" w:w="7195"/>
          </w:tcPr>
          <w:p>
            <w:r/>
            <w:r>
              <w:rPr>
                <w:sz w:val="17"/>
              </w:rPr>
              <w:t>exposure would exceed the cap</w:t>
            </w:r>
          </w:p>
        </w:tc>
      </w:tr>
      <w:tr>
        <w:tc>
          <w:tcPr>
            <w:tcW w:type="dxa" w:w="7195"/>
          </w:tcPr>
          <w:p>
            <w:r/>
            <w:r>
              <w:rPr>
                <w:sz w:val="17"/>
              </w:rPr>
              <w:t>symbol share</w:t>
            </w:r>
          </w:p>
        </w:tc>
        <w:tc>
          <w:tcPr>
            <w:tcW w:type="dxa" w:w="7195"/>
          </w:tcPr>
          <w:p>
            <w:r/>
            <w:r>
              <w:rPr>
                <w:sz w:val="17"/>
              </w:rPr>
              <w:t>one position would exceed the book</w:t>
            </w:r>
          </w:p>
        </w:tc>
      </w:tr>
    </w:tbl>
    <w:p>
      <w:pPr>
        <w:pageBreakBefore/>
        <w:spacing w:before="40" w:after="120"/>
      </w:pPr>
      <w:r>
        <w:rPr>
          <w:b/>
          <w:color w:val="8A94A0"/>
          <w:sz w:val="22"/>
        </w:rPr>
        <w:t xml:space="preserve">07   </w:t>
      </w:r>
      <w:r>
        <w:rPr>
          <w:b/>
          <w:color w:val="1B4A6F"/>
          <w:sz w:val="38"/>
        </w:rPr>
        <w:t>Level 3 — the recorder, the only writer</w:t>
      </w:r>
    </w:p>
    <w:p>
      <w:pPr>
        <w:spacing w:before="0" w:after="160"/>
        <w:shd w:val="clear" w:fill="EEF3F8"/>
        <w:pBdr>
          <w:left w:val="single" w:sz="24" w:space="8" w:color="2E6DB4"/>
        </w:pBdr>
      </w:pPr>
      <w:r>
        <w:rPr>
          <w:b/>
          <w:color w:val="2E6DB4"/>
          <w:sz w:val="15"/>
        </w:rPr>
        <w:t xml:space="preserve">WHAT THIS SHOWS   </w:t>
      </w:r>
      <w:r>
        <w:rPr>
          <w:color w:val="18202A"/>
          <w:sz w:val="19"/>
        </w:rPr>
        <w:t>The only writer of the record, and the derived references it attaches when a producer did not declare its inputs.</w:t>
      </w:r>
    </w:p>
    <w:p>
      <w:pPr>
        <w:spacing w:after="40"/>
        <w:jc w:val="center"/>
      </w:pPr>
      <w:r>
        <w:drawing>
          <wp:inline xmlns:a="http://schemas.openxmlformats.org/drawingml/2006/main" xmlns:pic="http://schemas.openxmlformats.org/drawingml/2006/picture">
            <wp:extent cx="8259183" cy="3383280"/>
            <wp:docPr id="7" name="Picture 7"/>
            <wp:cNvGraphicFramePr>
              <a:graphicFrameLocks noChangeAspect="1"/>
            </wp:cNvGraphicFramePr>
            <a:graphic>
              <a:graphicData uri="http://schemas.openxmlformats.org/drawingml/2006/picture">
                <pic:pic>
                  <pic:nvPicPr>
                    <pic:cNvPr id="0" name="06-recorder.png"/>
                    <pic:cNvPicPr/>
                  </pic:nvPicPr>
                  <pic:blipFill>
                    <a:blip r:embed="rId16"/>
                    <a:stretch>
                      <a:fillRect/>
                    </a:stretch>
                  </pic:blipFill>
                  <pic:spPr>
                    <a:xfrm>
                      <a:off x="0" y="0"/>
                      <a:ext cx="8259183" cy="3383280"/>
                    </a:xfrm>
                    <a:prstGeom prst="rect"/>
                  </pic:spPr>
                </pic:pic>
              </a:graphicData>
            </a:graphic>
          </wp:inline>
        </w:drawing>
      </w:r>
    </w:p>
    <w:p>
      <w:pPr>
        <w:spacing w:after="120"/>
        <w:jc w:val="center"/>
      </w:pPr>
      <w:r>
        <w:rPr>
          <w:i/>
          <w:color w:val="8A94A0"/>
          <w:sz w:val="16"/>
        </w:rPr>
        <w:t>Figure 6 — One consumer per topic, hops recorded as they pass, derived references attached at the door.</w:t>
      </w:r>
    </w:p>
    <w:tbl>
      <w:tblPr>
        <w:tblW w:type="auto" w:w="0"/>
        <w:tblLayout w:type="fixed"/>
        <w:tblLook w:firstColumn="1" w:firstRow="1" w:lastColumn="0" w:lastRow="0" w:noHBand="0" w:noVBand="1" w:val="04A0"/>
      </w:tblPr>
      <w:tblGrid>
        <w:gridCol w:w="7195"/>
        <w:gridCol w:w="7195"/>
      </w:tblGrid>
      <w:tr>
        <w:tc>
          <w:tcPr>
            <w:tcW w:type="dxa" w:w="8784"/>
          </w:tcPr>
          <w:p>
            <w:r/>
            <w:r>
              <w:rPr>
                <w:sz w:val="19"/>
              </w:rPr>
              <w:t>The recorder owns one queue per topic, so it sees every message exactly once. It runs the interceptors one at a time and records each as a hop on the envelope itself — which is why the pipeline an envelope went through is data, not a log line.</w:t>
            </w:r>
          </w:p>
        </w:tc>
        <w:tc>
          <w:tcPr>
            <w:tcW w:type="dxa" w:w="5472"/>
          </w:tcPr>
          <w:p>
            <w:pPr>
              <w:spacing w:after="40"/>
            </w:pPr>
            <w:r/>
            <w:r>
              <w:rPr>
                <w:color w:val="2E6DB4"/>
                <w:sz w:val="18"/>
              </w:rPr>
              <w:t xml:space="preserve">· </w:t>
            </w:r>
            <w:r>
              <w:rPr>
                <w:sz w:val="18"/>
              </w:rPr>
              <w:t>a refused envelope is recorded too, with extra.refused = true</w:t>
            </w:r>
          </w:p>
          <w:p>
            <w:pPr>
              <w:spacing w:after="40"/>
            </w:pPr>
            <w:r>
              <w:rPr>
                <w:color w:val="2E6DB4"/>
                <w:sz w:val="18"/>
              </w:rPr>
              <w:t xml:space="preserve">· </w:t>
            </w:r>
            <w:r>
              <w:rPr>
                <w:sz w:val="18"/>
              </w:rPr>
              <w:t>the record therefore contains what did not happen</w:t>
            </w:r>
          </w:p>
          <w:p>
            <w:pPr>
              <w:spacing w:after="40"/>
            </w:pPr>
            <w:r>
              <w:rPr>
                <w:color w:val="2E6DB4"/>
                <w:sz w:val="18"/>
              </w:rPr>
              <w:t xml:space="preserve">· </w:t>
            </w:r>
            <w:r>
              <w:rPr>
                <w:sz w:val="18"/>
              </w:rPr>
              <w:t>derived references are labelled, never implied</w:t>
            </w:r>
          </w:p>
          <w:p>
            <w:pPr>
              <w:spacing w:after="40"/>
            </w:pPr>
            <w:r>
              <w:rPr>
                <w:color w:val="2E6DB4"/>
                <w:sz w:val="18"/>
              </w:rPr>
              <w:t xml:space="preserve">· </w:t>
            </w:r>
            <w:r>
              <w:rPr>
                <w:sz w:val="18"/>
              </w:rPr>
              <w:t>the recorder declares its own topology; it does not rely on another process to do it</w:t>
            </w:r>
          </w:p>
        </w:tc>
      </w:tr>
    </w:tbl>
    <w:p>
      <w:pPr>
        <w:spacing w:after="120"/>
      </w:pPr>
      <w:r>
        <w:rPr>
          <w:i w:val="0"/>
          <w:sz w:val="2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ageBreakBefore/>
        <w:spacing w:before="40" w:after="120"/>
      </w:pPr>
      <w:r>
        <w:rPr>
          <w:b/>
          <w:color w:val="8A94A0"/>
          <w:sz w:val="22"/>
        </w:rPr>
        <w:t xml:space="preserve">08   </w:t>
      </w:r>
      <w:r>
        <w:rPr>
          <w:b/>
          <w:color w:val="1B4A6F"/>
          <w:sz w:val="38"/>
        </w:rPr>
        <w:t>Level 3 — control, what may change behaviour</w:t>
      </w:r>
    </w:p>
    <w:p>
      <w:pPr>
        <w:spacing w:before="0" w:after="160"/>
        <w:shd w:val="clear" w:fill="EEF3F8"/>
        <w:pBdr>
          <w:left w:val="single" w:sz="24" w:space="8" w:color="2E6DB4"/>
        </w:pBdr>
      </w:pPr>
      <w:r>
        <w:rPr>
          <w:b/>
          <w:color w:val="2E6DB4"/>
          <w:sz w:val="15"/>
        </w:rPr>
        <w:t xml:space="preserve">WHAT THIS SHOWS   </w:t>
      </w:r>
      <w:r>
        <w:rPr>
          <w:color w:val="18202A"/>
          <w:sz w:val="19"/>
        </w:rPr>
        <w:t>What may change behaviour — supervise and stop — and what STOP must never touch.</w:t>
      </w:r>
    </w:p>
    <w:p>
      <w:pPr>
        <w:spacing w:after="40"/>
        <w:jc w:val="center"/>
      </w:pPr>
      <w:r>
        <w:drawing>
          <wp:inline xmlns:a="http://schemas.openxmlformats.org/drawingml/2006/main" xmlns:pic="http://schemas.openxmlformats.org/drawingml/2006/picture">
            <wp:extent cx="8509461" cy="3383279"/>
            <wp:docPr id="8" name="Picture 8"/>
            <wp:cNvGraphicFramePr>
              <a:graphicFrameLocks noChangeAspect="1"/>
            </wp:cNvGraphicFramePr>
            <a:graphic>
              <a:graphicData uri="http://schemas.openxmlformats.org/drawingml/2006/picture">
                <pic:pic>
                  <pic:nvPicPr>
                    <pic:cNvPr id="0" name="08-control.png"/>
                    <pic:cNvPicPr/>
                  </pic:nvPicPr>
                  <pic:blipFill>
                    <a:blip r:embed="rId17"/>
                    <a:stretch>
                      <a:fillRect/>
                    </a:stretch>
                  </pic:blipFill>
                  <pic:spPr>
                    <a:xfrm>
                      <a:off x="0" y="0"/>
                      <a:ext cx="8509461" cy="3383279"/>
                    </a:xfrm>
                    <a:prstGeom prst="rect"/>
                  </pic:spPr>
                </pic:pic>
              </a:graphicData>
            </a:graphic>
          </wp:inline>
        </w:drawing>
      </w:r>
    </w:p>
    <w:p>
      <w:pPr>
        <w:spacing w:after="120"/>
        <w:jc w:val="center"/>
      </w:pPr>
      <w:r>
        <w:rPr>
          <w:i/>
          <w:color w:val="8A94A0"/>
          <w:sz w:val="16"/>
        </w:rPr>
        <w:t>Figure 8 — The supervisor, the stop flag and the heartbeat, and what STOP must never touch.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tc>
        <w:tc>
          <w:tcPr>
            <w:tcW w:type="dxa" w:w="5472"/>
          </w:tcPr>
          <w:p>
            <w:pPr>
              <w:spacing w:after="40"/>
            </w:pPr>
            <w:r/>
            <w:r>
              <w:rPr>
                <w:color w:val="2E6DB4"/>
                <w:sz w:val="18"/>
              </w:rPr>
              <w:t xml:space="preserve">· </w:t>
            </w:r>
            <w:r>
              <w:rPr>
                <w:sz w:val="18"/>
              </w:rPr>
              <w:t>STOP kills trading, writes the flag, publishes system.control, resets the books</w:t>
            </w:r>
          </w:p>
          <w:p>
            <w:pPr>
              <w:spacing w:after="40"/>
            </w:pPr>
            <w:r>
              <w:rPr>
                <w:color w:val="2E6DB4"/>
                <w:sz w:val="18"/>
              </w:rPr>
              <w:t xml:space="preserve">· </w:t>
            </w:r>
            <w:r>
              <w:rPr>
                <w:sz w:val="18"/>
              </w:rPr>
              <w:t>STOP leaves market data, the recorder and the explorer running</w:t>
            </w:r>
          </w:p>
          <w:p>
            <w:pPr>
              <w:spacing w:after="40"/>
            </w:pPr>
            <w:r>
              <w:rPr>
                <w:color w:val="2E6DB4"/>
                <w:sz w:val="18"/>
              </w:rPr>
              <w:t xml:space="preserve">· </w:t>
            </w:r>
            <w:r>
              <w:rPr>
                <w:sz w:val="18"/>
              </w:rPr>
              <w:t>starting the platform does not start trading unless it is asked to</w:t>
            </w:r>
          </w:p>
          <w:p>
            <w:pPr>
              <w:spacing w:after="40"/>
            </w:pPr>
            <w:r>
              <w:rPr>
                <w:color w:val="2E6DB4"/>
                <w:sz w:val="18"/>
              </w:rPr>
              <w:t xml:space="preserve">· </w:t>
            </w:r>
            <w:r>
              <w:rPr>
                <w:sz w:val="18"/>
              </w:rPr>
              <w:t>a stopped book is visibly stopped; it does not linger as a row on a dashboard</w:t>
            </w:r>
          </w:p>
        </w:tc>
      </w:tr>
    </w:tbl>
    <w:p>
      <w:pPr>
        <w:spacing w:after="120"/>
      </w:pPr>
      <w:r>
        <w:rPr>
          <w:i w:val="0"/>
          <w:sz w:val="20"/>
        </w:rPr>
        <w:t>The inverse is equally deliberate: no data path can stop the platform. A feed outage, a dead book or a missing consumer degrades what you see; only the control plane changes what the platform will do next.</w:t>
      </w:r>
    </w:p>
    <w:p>
      <w:pPr>
        <w:pageBreakBefore/>
        <w:spacing w:before="40" w:after="120"/>
      </w:pPr>
      <w:r>
        <w:rPr>
          <w:b/>
          <w:color w:val="8A94A0"/>
          <w:sz w:val="22"/>
        </w:rPr>
        <w:t xml:space="preserve">09   </w:t>
      </w:r>
      <w:r>
        <w:rPr>
          <w:b/>
          <w:color w:val="1B4A6F"/>
          <w:sz w:val="38"/>
        </w:rPr>
        <w:t>Level 4 — the lake, what is actually on disk</w:t>
      </w:r>
    </w:p>
    <w:p>
      <w:pPr>
        <w:spacing w:before="0" w:after="160"/>
        <w:shd w:val="clear" w:fill="EEF3F8"/>
        <w:pBdr>
          <w:left w:val="single" w:sz="24" w:space="8" w:color="2E6DB4"/>
        </w:pBdr>
      </w:pPr>
      <w:r>
        <w:rPr>
          <w:b/>
          <w:color w:val="2E6DB4"/>
          <w:sz w:val="15"/>
        </w:rPr>
        <w:t xml:space="preserve">WHAT THIS SHOWS   </w:t>
      </w:r>
      <w:r>
        <w:rPr>
          <w:color w:val="18202A"/>
          <w:sz w:val="19"/>
        </w:rPr>
        <w:t>What is actually on disk: the journal, its line format, the index that avoids scanning it, and retention.</w:t>
      </w:r>
    </w:p>
    <w:p>
      <w:pPr>
        <w:spacing w:after="40"/>
        <w:jc w:val="center"/>
      </w:pPr>
      <w:r>
        <w:drawing>
          <wp:inline xmlns:a="http://schemas.openxmlformats.org/drawingml/2006/main" xmlns:pic="http://schemas.openxmlformats.org/drawingml/2006/picture">
            <wp:extent cx="6640830" cy="2880360"/>
            <wp:docPr id="9" name="Picture 9"/>
            <wp:cNvGraphicFramePr>
              <a:graphicFrameLocks noChangeAspect="1"/>
            </wp:cNvGraphicFramePr>
            <a:graphic>
              <a:graphicData uri="http://schemas.openxmlformats.org/drawingml/2006/picture">
                <pic:pic>
                  <pic:nvPicPr>
                    <pic:cNvPr id="0" name="07-lake.png"/>
                    <pic:cNvPicPr/>
                  </pic:nvPicPr>
                  <pic:blipFill>
                    <a:blip r:embed="rId18"/>
                    <a:stretch>
                      <a:fillRect/>
                    </a:stretch>
                  </pic:blipFill>
                  <pic:spPr>
                    <a:xfrm>
                      <a:off x="0" y="0"/>
                      <a:ext cx="6640830" cy="2880360"/>
                    </a:xfrm>
                    <a:prstGeom prst="rect"/>
                  </pic:spPr>
                </pic:pic>
              </a:graphicData>
            </a:graphic>
          </wp:inline>
        </w:drawing>
      </w:r>
    </w:p>
    <w:p>
      <w:pPr>
        <w:spacing w:after="120"/>
        <w:jc w:val="center"/>
      </w:pPr>
      <w:r>
        <w:rPr>
          <w:i/>
          <w:color w:val="8A94A0"/>
          <w:sz w:val="16"/>
        </w:rPr>
        <w:t>Figure 7 — A journal, a line format, an index, and the retention that keeps it from growing forever.</w:t>
      </w:r>
    </w:p>
    <w:p>
      <w:pPr>
        <w:spacing w:after="120"/>
      </w:pPr>
      <w:r>
        <w:rPr>
          <w:i w:val="0"/>
          <w:sz w:val="2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20"/>
      </w:pPr>
      <w:r>
        <w:rPr>
          <w:i w:val="0"/>
          <w:sz w:val="2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LAYER</w:t>
            </w:r>
          </w:p>
        </w:tc>
        <w:tc>
          <w:tcPr>
            <w:tcW w:type="dxa" w:w="4797"/>
            <w:shd w:fill="F1F4F7"/>
          </w:tcPr>
          <w:p>
            <w:r/>
            <w:r>
              <w:rPr>
                <w:b/>
                <w:color w:val="5C6672"/>
                <w:sz w:val="14"/>
              </w:rPr>
              <w:t>CONTENTS</w:t>
            </w:r>
          </w:p>
        </w:tc>
        <w:tc>
          <w:tcPr>
            <w:tcW w:type="dxa" w:w="4797"/>
            <w:shd w:fill="F1F4F7"/>
          </w:tcPr>
          <w:p>
            <w:r/>
            <w:r>
              <w:rPr>
                <w:b/>
                <w:color w:val="5C6672"/>
                <w:sz w:val="14"/>
              </w:rPr>
              <w:t>WRITTEN BY</w:t>
            </w:r>
          </w:p>
        </w:tc>
      </w:tr>
      <w:tr>
        <w:tc>
          <w:tcPr>
            <w:tcW w:type="dxa" w:w="4797"/>
          </w:tcPr>
          <w:p>
            <w:r/>
            <w:r>
              <w:rPr>
                <w:sz w:val="17"/>
              </w:rPr>
              <w:t>bronze</w:t>
            </w:r>
          </w:p>
        </w:tc>
        <w:tc>
          <w:tcPr>
            <w:tcW w:type="dxa" w:w="4797"/>
          </w:tcPr>
          <w:p>
            <w:r/>
            <w:r>
              <w:rPr>
                <w:sz w:val="17"/>
              </w:rPr>
              <w:t>the raw journal, every envelope</w:t>
            </w:r>
          </w:p>
        </w:tc>
        <w:tc>
          <w:tcPr>
            <w:tcW w:type="dxa" w:w="4797"/>
          </w:tcPr>
          <w:p>
            <w:r/>
            <w:r>
              <w:rPr>
                <w:sz w:val="17"/>
              </w:rPr>
              <w:t>the recorder</w:t>
            </w:r>
          </w:p>
        </w:tc>
      </w:tr>
      <w:tr>
        <w:tc>
          <w:tcPr>
            <w:tcW w:type="dxa" w:w="4797"/>
          </w:tcPr>
          <w:p>
            <w:r/>
            <w:r>
              <w:rPr>
                <w:sz w:val="17"/>
              </w:rPr>
              <w:t>silver</w:t>
            </w:r>
          </w:p>
        </w:tc>
        <w:tc>
          <w:tcPr>
            <w:tcW w:type="dxa" w:w="4797"/>
          </w:tcPr>
          <w:p>
            <w:r/>
            <w:r>
              <w:rPr>
                <w:sz w:val="17"/>
              </w:rPr>
              <w:t>features extracted from fills</w:t>
            </w:r>
          </w:p>
        </w:tc>
        <w:tc>
          <w:tcPr>
            <w:tcW w:type="dxa" w:w="4797"/>
          </w:tcPr>
          <w:p>
            <w:r/>
            <w:r>
              <w:rPr>
                <w:sz w:val="17"/>
              </w:rPr>
              <w:t>the historian</w:t>
            </w:r>
          </w:p>
        </w:tc>
      </w:tr>
      <w:tr>
        <w:tc>
          <w:tcPr>
            <w:tcW w:type="dxa" w:w="4797"/>
          </w:tcPr>
          <w:p>
            <w:r/>
            <w:r>
              <w:rPr>
                <w:sz w:val="17"/>
              </w:rPr>
              <w:t>gold</w:t>
            </w:r>
          </w:p>
        </w:tc>
        <w:tc>
          <w:tcPr>
            <w:tcW w:type="dxa" w:w="4797"/>
          </w:tcPr>
          <w:p>
            <w:r/>
            <w:r>
              <w:rPr>
                <w:sz w:val="17"/>
              </w:rPr>
              <w:t>datasets for training and study</w:t>
            </w:r>
          </w:p>
        </w:tc>
        <w:tc>
          <w:tcPr>
            <w:tcW w:type="dxa" w:w="4797"/>
          </w:tcPr>
          <w:p>
            <w:r/>
            <w:r>
              <w:rPr>
                <w:sz w:val="17"/>
              </w:rPr>
              <w:t>the trainer</w:t>
            </w:r>
          </w:p>
        </w:tc>
      </w:tr>
      <w:tr>
        <w:tc>
          <w:tcPr>
            <w:tcW w:type="dxa" w:w="4797"/>
          </w:tcPr>
          <w:p>
            <w:r/>
            <w:r>
              <w:rPr>
                <w:sz w:val="17"/>
              </w:rPr>
              <w:t>archive</w:t>
            </w:r>
          </w:p>
        </w:tc>
        <w:tc>
          <w:tcPr>
            <w:tcW w:type="dxa" w:w="4797"/>
          </w:tcPr>
          <w:p>
            <w:r/>
            <w:r>
              <w:rPr>
                <w:sz w:val="17"/>
              </w:rPr>
              <w:t>sealed, compressed, cold</w:t>
            </w:r>
          </w:p>
        </w:tc>
        <w:tc>
          <w:tcPr>
            <w:tcW w:type="dxa" w:w="4797"/>
          </w:tcPr>
          <w:p>
            <w:r/>
            <w:r>
              <w:rPr>
                <w:sz w:val="17"/>
              </w:rPr>
              <w:t>retention</w:t>
            </w:r>
          </w:p>
        </w:tc>
      </w:tr>
    </w:tbl>
    <w:p>
      <w:pPr>
        <w:pageBreakBefore/>
        <w:spacing w:before="40" w:after="120"/>
      </w:pPr>
      <w:r>
        <w:rPr>
          <w:b/>
          <w:color w:val="8A94A0"/>
          <w:sz w:val="22"/>
        </w:rPr>
        <w:t xml:space="preserve">10   </w:t>
      </w:r>
      <w:r>
        <w:rPr>
          <w:b/>
          <w:color w:val="1B4A6F"/>
          <w:sz w:val="38"/>
        </w:rPr>
        <w:t>Level 4 — the data stores, as they exist</w:t>
      </w:r>
    </w:p>
    <w:p>
      <w:pPr>
        <w:spacing w:before="0" w:after="160"/>
        <w:shd w:val="clear" w:fill="EEF3F8"/>
        <w:pBdr>
          <w:left w:val="single" w:sz="24" w:space="8" w:color="2E6DB4"/>
        </w:pBdr>
      </w:pPr>
      <w:r>
        <w:rPr>
          <w:b/>
          <w:color w:val="2E6DB4"/>
          <w:sz w:val="15"/>
        </w:rPr>
        <w:t xml:space="preserve">WHAT THIS SHOWS   </w:t>
      </w:r>
      <w:r>
        <w:rPr>
          <w:color w:val="18202A"/>
          <w:sz w:val="19"/>
        </w:rPr>
        <w:t>Every place data is actually written on this machine, in which format, by which process, for how long.</w:t>
      </w:r>
    </w:p>
    <w:p>
      <w:pPr>
        <w:spacing w:after="40"/>
        <w:jc w:val="center"/>
      </w:pPr>
      <w:r>
        <w:drawing>
          <wp:inline xmlns:a="http://schemas.openxmlformats.org/drawingml/2006/main" xmlns:pic="http://schemas.openxmlformats.org/drawingml/2006/picture">
            <wp:extent cx="6830568" cy="2880360"/>
            <wp:docPr id="10" name="Picture 10"/>
            <wp:cNvGraphicFramePr>
              <a:graphicFrameLocks noChangeAspect="1"/>
            </wp:cNvGraphicFramePr>
            <a:graphic>
              <a:graphicData uri="http://schemas.openxmlformats.org/drawingml/2006/picture">
                <pic:pic>
                  <pic:nvPicPr>
                    <pic:cNvPr id="0" name="09-stores.png"/>
                    <pic:cNvPicPr/>
                  </pic:nvPicPr>
                  <pic:blipFill>
                    <a:blip r:embed="rId19"/>
                    <a:stretch>
                      <a:fillRect/>
                    </a:stretch>
                  </pic:blipFill>
                  <pic:spPr>
                    <a:xfrm>
                      <a:off x="0" y="0"/>
                      <a:ext cx="6830568" cy="2880360"/>
                    </a:xfrm>
                    <a:prstGeom prst="rect"/>
                  </pic:spPr>
                </pic:pic>
              </a:graphicData>
            </a:graphic>
          </wp:inline>
        </w:drawing>
      </w:r>
    </w:p>
    <w:p>
      <w:pPr>
        <w:spacing w:after="120"/>
        <w:jc w:val="center"/>
      </w:pPr>
      <w:r>
        <w:rPr>
          <w:i/>
          <w:color w:val="8A94A0"/>
          <w:sz w:val="16"/>
        </w:rPr>
        <w:t>Figure 9 — Eight stores. The journal is the only one that is a record; the rest are derived, cached, archived or diagnostic.</w:t>
      </w:r>
    </w:p>
    <w:p>
      <w:pPr>
        <w:spacing w:after="120"/>
      </w:pPr>
      <w:r>
        <w:rPr>
          <w:i w:val="0"/>
          <w:sz w:val="20"/>
        </w:rPr>
        <w:t>It is worth being literal about storage, because most architectures hide their stores behind services. Here there are eight, and every one of them is a file you can open.</w:t>
      </w:r>
    </w:p>
    <w:p>
      <w:pPr>
        <w:spacing w:after="120"/>
      </w:pPr>
      <w:r>
        <w:rPr>
          <w:i w:val="0"/>
          <w:sz w:val="20"/>
        </w:rPr>
        <w:t>The journal is the record: 60 GB of JSONL, one envelope per line, written by the recorder alone. The datasets are derived from it by the historian. Live state is what the books currently hold, rewritten in place and explicitly not a record. Ledgers are the per-engine trade files, appended by the engines themselves. Archives are copies taken before a reset. The index is memory, rebuilt at boot. Logs are diagnostic. Older journals are kept for replay comparison.</w:t>
      </w:r>
    </w:p>
    <w:tbl>
      <w:tblPr>
        <w:tblStyle w:val="TableGrid"/>
        <w:tblW w:type="auto" w:w="0"/>
        <w:jc w:val="center"/>
        <w:tblLook w:firstColumn="1" w:firstRow="1" w:lastColumn="0" w:lastRow="0" w:noHBand="0" w:noVBand="1" w:val="04A0"/>
      </w:tblPr>
      <w:tblGrid>
        <w:gridCol w:w="3597"/>
        <w:gridCol w:w="3597"/>
        <w:gridCol w:w="3597"/>
        <w:gridCol w:w="3597"/>
      </w:tblGrid>
      <w:tr>
        <w:tc>
          <w:tcPr>
            <w:tcW w:type="dxa" w:w="3597"/>
            <w:shd w:fill="F1F4F7"/>
          </w:tcPr>
          <w:p>
            <w:r/>
            <w:r>
              <w:rPr>
                <w:b/>
                <w:color w:val="5C6672"/>
                <w:sz w:val="14"/>
              </w:rPr>
              <w:t>STORE</w:t>
            </w:r>
          </w:p>
        </w:tc>
        <w:tc>
          <w:tcPr>
            <w:tcW w:type="dxa" w:w="3597"/>
            <w:shd w:fill="F1F4F7"/>
          </w:tcPr>
          <w:p>
            <w:r/>
            <w:r>
              <w:rPr>
                <w:b/>
                <w:color w:val="5C6672"/>
                <w:sz w:val="14"/>
              </w:rPr>
              <w:t>FORMAT</w:t>
            </w:r>
          </w:p>
        </w:tc>
        <w:tc>
          <w:tcPr>
            <w:tcW w:type="dxa" w:w="3597"/>
            <w:shd w:fill="F1F4F7"/>
          </w:tcPr>
          <w:p>
            <w:r/>
            <w:r>
              <w:rPr>
                <w:b/>
                <w:color w:val="5C6672"/>
                <w:sz w:val="14"/>
              </w:rPr>
              <w:t>WRITTEN BY</w:t>
            </w:r>
          </w:p>
        </w:tc>
        <w:tc>
          <w:tcPr>
            <w:tcW w:type="dxa" w:w="3597"/>
            <w:shd w:fill="F1F4F7"/>
          </w:tcPr>
          <w:p>
            <w:r/>
            <w:r>
              <w:rPr>
                <w:b/>
                <w:color w:val="5C6672"/>
                <w:sz w:val="14"/>
              </w:rPr>
              <w:t>LIFETIME</w:t>
            </w:r>
          </w:p>
        </w:tc>
      </w:tr>
      <w:tr>
        <w:tc>
          <w:tcPr>
            <w:tcW w:type="dxa" w:w="3597"/>
          </w:tcPr>
          <w:p>
            <w:r/>
            <w:r>
              <w:rPr>
                <w:sz w:val="17"/>
              </w:rPr>
              <w:t>state/lake3/envelopes.jsonl</w:t>
            </w:r>
          </w:p>
        </w:tc>
        <w:tc>
          <w:tcPr>
            <w:tcW w:type="dxa" w:w="3597"/>
          </w:tcPr>
          <w:p>
            <w:r/>
            <w:r>
              <w:rPr>
                <w:sz w:val="17"/>
              </w:rPr>
              <w:t>JSONL</w:t>
            </w:r>
          </w:p>
        </w:tc>
        <w:tc>
          <w:tcPr>
            <w:tcW w:type="dxa" w:w="3597"/>
          </w:tcPr>
          <w:p>
            <w:r/>
            <w:r>
              <w:rPr>
                <w:sz w:val="17"/>
              </w:rPr>
              <w:t>recorder</w:t>
            </w:r>
          </w:p>
        </w:tc>
        <w:tc>
          <w:tcPr>
            <w:tcW w:type="dxa" w:w="3597"/>
          </w:tcPr>
          <w:p>
            <w:r/>
            <w:r>
              <w:rPr>
                <w:sz w:val="17"/>
              </w:rPr>
              <w:t>the record; rotated and expired by policy</w:t>
            </w:r>
          </w:p>
        </w:tc>
      </w:tr>
      <w:tr>
        <w:tc>
          <w:tcPr>
            <w:tcW w:type="dxa" w:w="3597"/>
          </w:tcPr>
          <w:p>
            <w:r/>
            <w:r>
              <w:rPr>
                <w:sz w:val="17"/>
              </w:rPr>
              <w:t>datasets/</w:t>
            </w:r>
          </w:p>
        </w:tc>
        <w:tc>
          <w:tcPr>
            <w:tcW w:type="dxa" w:w="3597"/>
          </w:tcPr>
          <w:p>
            <w:r/>
            <w:r>
              <w:rPr>
                <w:sz w:val="17"/>
              </w:rPr>
              <w:t>CSV + JSON</w:t>
            </w:r>
          </w:p>
        </w:tc>
        <w:tc>
          <w:tcPr>
            <w:tcW w:type="dxa" w:w="3597"/>
          </w:tcPr>
          <w:p>
            <w:r/>
            <w:r>
              <w:rPr>
                <w:sz w:val="17"/>
              </w:rPr>
              <w:t>historian</w:t>
            </w:r>
          </w:p>
        </w:tc>
        <w:tc>
          <w:tcPr>
            <w:tcW w:type="dxa" w:w="3597"/>
          </w:tcPr>
          <w:p>
            <w:r/>
            <w:r>
              <w:rPr>
                <w:sz w:val="17"/>
              </w:rPr>
              <w:t>rebuilt on demand</w:t>
            </w:r>
          </w:p>
        </w:tc>
      </w:tr>
      <w:tr>
        <w:tc>
          <w:tcPr>
            <w:tcW w:type="dxa" w:w="3597"/>
          </w:tcPr>
          <w:p>
            <w:r/>
            <w:r>
              <w:rPr>
                <w:sz w:val="17"/>
              </w:rPr>
              <w:t>state/pack_*.json</w:t>
            </w:r>
          </w:p>
        </w:tc>
        <w:tc>
          <w:tcPr>
            <w:tcW w:type="dxa" w:w="3597"/>
          </w:tcPr>
          <w:p>
            <w:r/>
            <w:r>
              <w:rPr>
                <w:sz w:val="17"/>
              </w:rPr>
              <w:t>JSON</w:t>
            </w:r>
          </w:p>
        </w:tc>
        <w:tc>
          <w:tcPr>
            <w:tcW w:type="dxa" w:w="3597"/>
          </w:tcPr>
          <w:p>
            <w:r/>
            <w:r>
              <w:rPr>
                <w:sz w:val="17"/>
              </w:rPr>
              <w:t>each book</w:t>
            </w:r>
          </w:p>
        </w:tc>
        <w:tc>
          <w:tcPr>
            <w:tcW w:type="dxa" w:w="3597"/>
          </w:tcPr>
          <w:p>
            <w:r/>
            <w:r>
              <w:rPr>
                <w:sz w:val="17"/>
              </w:rPr>
              <w:t>until the next write</w:t>
            </w:r>
          </w:p>
        </w:tc>
      </w:tr>
      <w:tr>
        <w:tc>
          <w:tcPr>
            <w:tcW w:type="dxa" w:w="3597"/>
          </w:tcPr>
          <w:p>
            <w:r/>
            <w:r>
              <w:rPr>
                <w:sz w:val="17"/>
              </w:rPr>
              <w:t>ledger/*.jsonl</w:t>
            </w:r>
          </w:p>
        </w:tc>
        <w:tc>
          <w:tcPr>
            <w:tcW w:type="dxa" w:w="3597"/>
          </w:tcPr>
          <w:p>
            <w:r/>
            <w:r>
              <w:rPr>
                <w:sz w:val="17"/>
              </w:rPr>
              <w:t>JSONL</w:t>
            </w:r>
          </w:p>
        </w:tc>
        <w:tc>
          <w:tcPr>
            <w:tcW w:type="dxa" w:w="3597"/>
          </w:tcPr>
          <w:p>
            <w:r/>
            <w:r>
              <w:rPr>
                <w:sz w:val="17"/>
              </w:rPr>
              <w:t>each engine</w:t>
            </w:r>
          </w:p>
        </w:tc>
        <w:tc>
          <w:tcPr>
            <w:tcW w:type="dxa" w:w="3597"/>
          </w:tcPr>
          <w:p>
            <w:r/>
            <w:r>
              <w:rPr>
                <w:sz w:val="17"/>
              </w:rPr>
              <w:t>append only, never expired</w:t>
            </w:r>
          </w:p>
        </w:tc>
      </w:tr>
      <w:tr>
        <w:tc>
          <w:tcPr>
            <w:tcW w:type="dxa" w:w="3597"/>
          </w:tcPr>
          <w:p>
            <w:r/>
            <w:r>
              <w:rPr>
                <w:sz w:val="17"/>
              </w:rPr>
              <w:t>state/archive_*</w:t>
            </w:r>
          </w:p>
        </w:tc>
        <w:tc>
          <w:tcPr>
            <w:tcW w:type="dxa" w:w="3597"/>
          </w:tcPr>
          <w:p>
            <w:r/>
            <w:r>
              <w:rPr>
                <w:sz w:val="17"/>
              </w:rPr>
              <w:t>JSON</w:t>
            </w:r>
          </w:p>
        </w:tc>
        <w:tc>
          <w:tcPr>
            <w:tcW w:type="dxa" w:w="3597"/>
          </w:tcPr>
          <w:p>
            <w:r/>
            <w:r>
              <w:rPr>
                <w:sz w:val="17"/>
              </w:rPr>
              <w:t>control on reset</w:t>
            </w:r>
          </w:p>
        </w:tc>
        <w:tc>
          <w:tcPr>
            <w:tcW w:type="dxa" w:w="3597"/>
          </w:tcPr>
          <w:p>
            <w:r/>
            <w:r>
              <w:rPr>
                <w:sz w:val="17"/>
              </w:rPr>
              <w:t>kept for recovery</w:t>
            </w:r>
          </w:p>
        </w:tc>
      </w:tr>
      <w:tr>
        <w:tc>
          <w:tcPr>
            <w:tcW w:type="dxa" w:w="3597"/>
          </w:tcPr>
          <w:p>
            <w:r/>
            <w:r>
              <w:rPr>
                <w:sz w:val="17"/>
              </w:rPr>
              <w:t>state/lake, lake2, lake4</w:t>
            </w:r>
          </w:p>
        </w:tc>
        <w:tc>
          <w:tcPr>
            <w:tcW w:type="dxa" w:w="3597"/>
          </w:tcPr>
          <w:p>
            <w:r/>
            <w:r>
              <w:rPr>
                <w:sz w:val="17"/>
              </w:rPr>
              <w:t>JSONL</w:t>
            </w:r>
          </w:p>
        </w:tc>
        <w:tc>
          <w:tcPr>
            <w:tcW w:type="dxa" w:w="3597"/>
          </w:tcPr>
          <w:p>
            <w:r/>
            <w:r>
              <w:rPr>
                <w:sz w:val="17"/>
              </w:rPr>
              <w:t>older recorders</w:t>
            </w:r>
          </w:p>
        </w:tc>
        <w:tc>
          <w:tcPr>
            <w:tcW w:type="dxa" w:w="3597"/>
          </w:tcPr>
          <w:p>
            <w:r/>
            <w:r>
              <w:rPr>
                <w:sz w:val="17"/>
              </w:rPr>
              <w:t>cold, for comparison</w:t>
            </w:r>
          </w:p>
        </w:tc>
      </w:tr>
      <w:tr>
        <w:tc>
          <w:tcPr>
            <w:tcW w:type="dxa" w:w="3597"/>
          </w:tcPr>
          <w:p>
            <w:r/>
            <w:r>
              <w:rPr>
                <w:sz w:val="17"/>
              </w:rPr>
              <w:t>index (memory)</w:t>
            </w:r>
          </w:p>
        </w:tc>
        <w:tc>
          <w:tcPr>
            <w:tcW w:type="dxa" w:w="3597"/>
          </w:tcPr>
          <w:p>
            <w:r/>
            <w:r>
              <w:rPr>
                <w:sz w:val="17"/>
              </w:rPr>
              <w:t>offsets</w:t>
            </w:r>
          </w:p>
        </w:tc>
        <w:tc>
          <w:tcPr>
            <w:tcW w:type="dxa" w:w="3597"/>
          </w:tcPr>
          <w:p>
            <w:r/>
            <w:r>
              <w:rPr>
                <w:sz w:val="17"/>
              </w:rPr>
              <w:t>the explorer</w:t>
            </w:r>
          </w:p>
        </w:tc>
        <w:tc>
          <w:tcPr>
            <w:tcW w:type="dxa" w:w="3597"/>
          </w:tcPr>
          <w:p>
            <w:r/>
            <w:r>
              <w:rPr>
                <w:sz w:val="17"/>
              </w:rPr>
              <w:t>rebuilt on boot</w:t>
            </w:r>
          </w:p>
        </w:tc>
      </w:tr>
      <w:tr>
        <w:tc>
          <w:tcPr>
            <w:tcW w:type="dxa" w:w="3597"/>
          </w:tcPr>
          <w:p>
            <w:r/>
            <w:r>
              <w:rPr>
                <w:sz w:val="17"/>
              </w:rPr>
              <w:t>logs/</w:t>
            </w:r>
          </w:p>
        </w:tc>
        <w:tc>
          <w:tcPr>
            <w:tcW w:type="dxa" w:w="3597"/>
          </w:tcPr>
          <w:p>
            <w:r/>
            <w:r>
              <w:rPr>
                <w:sz w:val="17"/>
              </w:rPr>
              <w:t>text</w:t>
            </w:r>
          </w:p>
        </w:tc>
        <w:tc>
          <w:tcPr>
            <w:tcW w:type="dxa" w:w="3597"/>
          </w:tcPr>
          <w:p>
            <w:r/>
            <w:r>
              <w:rPr>
                <w:sz w:val="17"/>
              </w:rPr>
              <w:t>every process</w:t>
            </w:r>
          </w:p>
        </w:tc>
        <w:tc>
          <w:tcPr>
            <w:tcW w:type="dxa" w:w="3597"/>
          </w:tcPr>
          <w:p>
            <w:r/>
            <w:r>
              <w:rPr>
                <w:sz w:val="17"/>
              </w:rPr>
              <w:t>diagnostic</w:t>
            </w:r>
          </w:p>
        </w:tc>
      </w:tr>
    </w:tbl>
    <w:p>
      <w:pPr>
        <w:pageBreakBefore/>
        <w:spacing w:before="40" w:after="120"/>
      </w:pPr>
      <w:r>
        <w:rPr>
          <w:b/>
          <w:color w:val="8A94A0"/>
          <w:sz w:val="22"/>
        </w:rPr>
        <w:t xml:space="preserve">11   </w:t>
      </w:r>
      <w:r>
        <w:rPr>
          <w:b/>
          <w:color w:val="1B4A6F"/>
          <w:sz w:val="38"/>
        </w:rPr>
        <w:t>Level 4 — how the lake chooses</w:t>
      </w:r>
    </w:p>
    <w:p>
      <w:pPr>
        <w:spacing w:before="0" w:after="160"/>
        <w:shd w:val="clear" w:fill="EEF3F8"/>
        <w:pBdr>
          <w:left w:val="single" w:sz="24" w:space="8" w:color="2E6DB4"/>
        </w:pBdr>
      </w:pPr>
      <w:r>
        <w:rPr>
          <w:b/>
          <w:color w:val="2E6DB4"/>
          <w:sz w:val="15"/>
        </w:rPr>
        <w:t xml:space="preserve">WHAT THIS SHOWS   </w:t>
      </w:r>
      <w:r>
        <w:rPr>
          <w:color w:val="18202A"/>
          <w:sz w:val="19"/>
        </w:rPr>
        <w:t>The decision tree that decides which store receives an envelope, how long it lives, and when a segment is sealed.</w:t>
      </w:r>
    </w:p>
    <w:p>
      <w:pPr>
        <w:spacing w:after="40"/>
        <w:jc w:val="center"/>
      </w:pPr>
      <w:r>
        <w:drawing>
          <wp:inline xmlns:a="http://schemas.openxmlformats.org/drawingml/2006/main" xmlns:pic="http://schemas.openxmlformats.org/drawingml/2006/picture">
            <wp:extent cx="7200313" cy="3383280"/>
            <wp:docPr id="11" name="Picture 11"/>
            <wp:cNvGraphicFramePr>
              <a:graphicFrameLocks noChangeAspect="1"/>
            </wp:cNvGraphicFramePr>
            <a:graphic>
              <a:graphicData uri="http://schemas.openxmlformats.org/drawingml/2006/picture">
                <pic:pic>
                  <pic:nvPicPr>
                    <pic:cNvPr id="0" name="10-decision-tree.png"/>
                    <pic:cNvPicPr/>
                  </pic:nvPicPr>
                  <pic:blipFill>
                    <a:blip r:embed="rId20"/>
                    <a:stretch>
                      <a:fillRect/>
                    </a:stretch>
                  </pic:blipFill>
                  <pic:spPr>
                    <a:xfrm>
                      <a:off x="0" y="0"/>
                      <a:ext cx="7200313" cy="3383280"/>
                    </a:xfrm>
                    <a:prstGeom prst="rect"/>
                  </pic:spPr>
                </pic:pic>
              </a:graphicData>
            </a:graphic>
          </wp:inline>
        </w:drawing>
      </w:r>
    </w:p>
    <w:p>
      <w:pPr>
        <w:spacing w:after="120"/>
        <w:jc w:val="center"/>
      </w:pPr>
      <w:r>
        <w:rPr>
          <w:i/>
          <w:color w:val="8A94A0"/>
          <w:sz w:val="16"/>
        </w:rPr>
        <w:t>Figure 10 — One question per level: what is it, how long does it live, is it big enough to seal. Nothing is deleted by a rule that is not drawn here.</w:t>
      </w:r>
    </w:p>
    <w:tbl>
      <w:tblPr>
        <w:tblW w:type="auto" w:w="0"/>
        <w:tblLayout w:type="fixed"/>
        <w:tblLook w:firstColumn="1" w:firstRow="1" w:lastColumn="0" w:lastRow="0" w:noHBand="0" w:noVBand="1" w:val="04A0"/>
      </w:tblPr>
      <w:tblGrid>
        <w:gridCol w:w="7195"/>
        <w:gridCol w:w="7195"/>
      </w:tblGrid>
      <w:tr>
        <w:tc>
          <w:tcPr>
            <w:tcW w:type="dxa" w:w="8784"/>
          </w:tcPr>
          <w:p>
            <w:r/>
            <w:r>
              <w:rPr>
                <w:sz w:val="19"/>
              </w:rPr>
              <w:t>Retention is not a setting in a configuration file; it is a short tree. An envelope arrives, and the first question is whether it is a trading outcome. Outcomes go to the silver record — the ledger and the fills file — which is never rotated and never expired, because a trade record that disappears is not a record.</w:t>
            </w:r>
          </w:p>
        </w:tc>
        <w:tc>
          <w:tcPr>
            <w:tcW w:type="dxa" w:w="5472"/>
          </w:tcPr>
          <w:p>
            <w:pPr>
              <w:spacing w:after="40"/>
            </w:pPr>
            <w:r/>
            <w:r>
              <w:rPr>
                <w:color w:val="2E6DB4"/>
                <w:sz w:val="18"/>
              </w:rPr>
              <w:t xml:space="preserve">· </w:t>
            </w:r>
            <w:r>
              <w:rPr>
                <w:sz w:val="18"/>
              </w:rPr>
              <w:t>a trading outcome is never expired; it is the part of the record that must survive</w:t>
            </w:r>
          </w:p>
          <w:p>
            <w:pPr>
              <w:spacing w:after="40"/>
            </w:pPr>
            <w:r>
              <w:rPr>
                <w:color w:val="2E6DB4"/>
                <w:sz w:val="18"/>
              </w:rPr>
              <w:t xml:space="preserve">· </w:t>
            </w:r>
            <w:r>
              <w:rPr>
                <w:sz w:val="18"/>
              </w:rPr>
              <w:t>the journal is the default, and its lifetime is decided by topic class, not by age alone</w:t>
            </w:r>
          </w:p>
          <w:p>
            <w:pPr>
              <w:spacing w:after="40"/>
            </w:pPr>
            <w:r>
              <w:rPr>
                <w:color w:val="2E6DB4"/>
                <w:sz w:val="18"/>
              </w:rPr>
              <w:t xml:space="preserve">· </w:t>
            </w:r>
            <w:r>
              <w:rPr>
                <w:sz w:val="18"/>
              </w:rPr>
              <w:t>sealing is about the size of the hot file, not about the calendar</w:t>
            </w:r>
          </w:p>
          <w:p>
            <w:pPr>
              <w:spacing w:after="40"/>
            </w:pPr>
            <w:r>
              <w:rPr>
                <w:color w:val="2E6DB4"/>
                <w:sz w:val="18"/>
              </w:rPr>
              <w:t xml:space="preserve">· </w:t>
            </w:r>
            <w:r>
              <w:rPr>
                <w:sz w:val="18"/>
              </w:rPr>
              <w:t>sealing never invalidates the index: offsets stay valid because the line does not change</w:t>
            </w:r>
          </w:p>
        </w:tc>
      </w:tr>
    </w:tbl>
    <w:p>
      <w:pPr>
        <w:spacing w:after="120"/>
      </w:pPr>
      <w:r>
        <w:rPr>
          <w:i w:val="0"/>
          <w:sz w:val="20"/>
        </w:rPr>
        <w:t>Everything else goes to the bronze journal. There the topic class decides the lifetime: market and intelligence traffic is the bulk of the volume and lives long enough to replay; control and health messages are small, high-value and short-lived. Finally the segment is measured: past a gigabyte it is sealed and compressed, and the index keeps pointing into it.</w:t>
      </w:r>
    </w:p>
    <w:p>
      <w:pPr>
        <w:pageBreakBefore/>
        <w:spacing w:before="40" w:after="120"/>
      </w:pPr>
      <w:r>
        <w:rPr>
          <w:b/>
          <w:color w:val="8A94A0"/>
          <w:sz w:val="22"/>
        </w:rPr>
        <w:t xml:space="preserve">12   </w:t>
      </w:r>
      <w:r>
        <w:rPr>
          <w:b/>
          <w:color w:val="1B4A6F"/>
          <w:sz w:val="38"/>
        </w:rPr>
        <w:t>Level 5 — beneath the lake</w:t>
      </w:r>
    </w:p>
    <w:p>
      <w:pPr>
        <w:spacing w:before="0" w:after="160"/>
        <w:shd w:val="clear" w:fill="EEF3F8"/>
        <w:pBdr>
          <w:left w:val="single" w:sz="24" w:space="8" w:color="2E6DB4"/>
        </w:pBdr>
      </w:pPr>
      <w:r>
        <w:rPr>
          <w:b/>
          <w:color w:val="2E6DB4"/>
          <w:sz w:val="15"/>
        </w:rPr>
        <w:t xml:space="preserve">WHAT THIS SHOWS   </w:t>
      </w:r>
      <w:r>
        <w:rPr>
          <w:color w:val="18202A"/>
          <w:sz w:val="19"/>
        </w:rPr>
        <w:t>The filesystem properties that let a case file be called evidence a year later.</w:t>
      </w:r>
    </w:p>
    <w:p>
      <w:pPr>
        <w:spacing w:after="120"/>
      </w:pPr>
      <w:r>
        <w:rPr>
          <w:i w:val="0"/>
          <w:sz w:val="2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PROPERTY</w:t>
            </w:r>
          </w:p>
        </w:tc>
        <w:tc>
          <w:tcPr>
            <w:tcW w:type="dxa" w:w="7195"/>
            <w:shd w:fill="F1F4F7"/>
          </w:tcPr>
          <w:p>
            <w:r/>
            <w:r>
              <w:rPr>
                <w:b/>
                <w:color w:val="5C6672"/>
                <w:sz w:val="14"/>
              </w:rPr>
              <w:t>CONSEQUENCE</w:t>
            </w:r>
          </w:p>
        </w:tc>
      </w:tr>
      <w:tr>
        <w:tc>
          <w:tcPr>
            <w:tcW w:type="dxa" w:w="7195"/>
          </w:tcPr>
          <w:p>
            <w:r/>
            <w:r>
              <w:rPr>
                <w:sz w:val="17"/>
              </w:rPr>
              <w:t>one line, one envelope, append only</w:t>
            </w:r>
          </w:p>
        </w:tc>
        <w:tc>
          <w:tcPr>
            <w:tcW w:type="dxa" w:w="7195"/>
          </w:tcPr>
          <w:p>
            <w:r/>
            <w:r>
              <w:rPr>
                <w:sz w:val="17"/>
              </w:rPr>
              <w:t>a line never changes after it is written</w:t>
            </w:r>
          </w:p>
        </w:tc>
      </w:tr>
      <w:tr>
        <w:tc>
          <w:tcPr>
            <w:tcW w:type="dxa" w:w="7195"/>
          </w:tcPr>
          <w:p>
            <w:r/>
            <w:r>
              <w:rPr>
                <w:sz w:val="17"/>
              </w:rPr>
              <w:t>plain UTF-8 JSON</w:t>
            </w:r>
          </w:p>
        </w:tc>
        <w:tc>
          <w:tcPr>
            <w:tcW w:type="dxa" w:w="7195"/>
          </w:tcPr>
          <w:p>
            <w:r/>
            <w:r>
              <w:rPr>
                <w:sz w:val="17"/>
              </w:rPr>
              <w:t>grep, jq, awk and a shell are enough to read it</w:t>
            </w:r>
          </w:p>
        </w:tc>
      </w:tr>
      <w:tr>
        <w:tc>
          <w:tcPr>
            <w:tcW w:type="dxa" w:w="7195"/>
          </w:tcPr>
          <w:p>
            <w:r/>
            <w:r>
              <w:rPr>
                <w:sz w:val="17"/>
              </w:rPr>
              <w:t>no service dependency to read</w:t>
            </w:r>
          </w:p>
        </w:tc>
        <w:tc>
          <w:tcPr>
            <w:tcW w:type="dxa" w:w="7195"/>
          </w:tcPr>
          <w:p>
            <w:r/>
            <w:r>
              <w:rPr>
                <w:sz w:val="17"/>
              </w:rPr>
              <w:t>an investigator does not need the platform running</w:t>
            </w:r>
          </w:p>
        </w:tc>
      </w:tr>
      <w:tr>
        <w:tc>
          <w:tcPr>
            <w:tcW w:type="dxa" w:w="7195"/>
          </w:tcPr>
          <w:p>
            <w:r/>
            <w:r>
              <w:rPr>
                <w:sz w:val="17"/>
              </w:rPr>
              <w:t>rotation by size, then gzip</w:t>
            </w:r>
          </w:p>
        </w:tc>
        <w:tc>
          <w:tcPr>
            <w:tcW w:type="dxa" w:w="7195"/>
          </w:tcPr>
          <w:p>
            <w:r/>
            <w:r>
              <w:rPr>
                <w:sz w:val="17"/>
              </w:rPr>
              <w:t>the working journal stays small and fast</w:t>
            </w:r>
          </w:p>
        </w:tc>
      </w:tr>
      <w:tr>
        <w:tc>
          <w:tcPr>
            <w:tcW w:type="dxa" w:w="7195"/>
          </w:tcPr>
          <w:p>
            <w:r/>
            <w:r>
              <w:rPr>
                <w:sz w:val="17"/>
              </w:rPr>
              <w:t>expiry by window</w:t>
            </w:r>
          </w:p>
        </w:tc>
        <w:tc>
          <w:tcPr>
            <w:tcW w:type="dxa" w:w="7195"/>
          </w:tcPr>
          <w:p>
            <w:r/>
            <w:r>
              <w:rPr>
                <w:sz w:val="17"/>
              </w:rPr>
              <w:t>the record has a stated lifetime, not an accidental one</w:t>
            </w:r>
          </w:p>
        </w:tc>
      </w:tr>
      <w:tr>
        <w:tc>
          <w:tcPr>
            <w:tcW w:type="dxa" w:w="7195"/>
          </w:tcPr>
          <w:p>
            <w:r/>
            <w:r>
              <w:rPr>
                <w:sz w:val="17"/>
              </w:rPr>
              <w:t>offsets in memory, rebuilt on boot</w:t>
            </w:r>
          </w:p>
        </w:tc>
        <w:tc>
          <w:tcPr>
            <w:tcW w:type="dxa" w:w="7195"/>
          </w:tcPr>
          <w:p>
            <w:r/>
            <w:r>
              <w:rPr>
                <w:sz w:val="17"/>
              </w:rPr>
              <w:t>the index is disposable, the journal is not</w:t>
            </w:r>
          </w:p>
        </w:tc>
      </w:tr>
    </w:tbl>
    <w:p>
      <w:pPr>
        <w:spacing w:after="120"/>
      </w:pPr>
      <w:r>
        <w:rPr>
          <w:i w:val="0"/>
          <w:sz w:val="2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pPr>
        <w:pageBreakBefore/>
        <w:spacing w:before="40" w:after="120"/>
      </w:pPr>
      <w:r>
        <w:rPr>
          <w:b/>
          <w:color w:val="8A94A0"/>
          <w:sz w:val="22"/>
        </w:rPr>
        <w:t xml:space="preserve">13   </w:t>
      </w:r>
      <w:r>
        <w:rPr>
          <w:b/>
          <w:color w:val="1B4A6F"/>
          <w:sz w:val="38"/>
        </w:rPr>
        <w:t>Crossing concerns — time, identity and generations</w:t>
      </w:r>
    </w:p>
    <w:p>
      <w:pPr>
        <w:spacing w:before="0" w:after="160"/>
        <w:shd w:val="clear" w:fill="EEF3F8"/>
        <w:pBdr>
          <w:left w:val="single" w:sz="24" w:space="8" w:color="2E6DB4"/>
        </w:pBdr>
      </w:pPr>
      <w:r>
        <w:rPr>
          <w:b/>
          <w:color w:val="2E6DB4"/>
          <w:sz w:val="15"/>
        </w:rPr>
        <w:t xml:space="preserve">WHAT THIS SHOWS   </w:t>
      </w:r>
      <w:r>
        <w:rPr>
          <w:color w:val="18202A"/>
          <w:sz w:val="19"/>
        </w:rPr>
        <w:t>Time, identity and generations, modelled once in the envelope rather than per context.</w:t>
      </w:r>
    </w:p>
    <w:p>
      <w:pPr>
        <w:spacing w:after="120"/>
      </w:pPr>
      <w:r>
        <w:rPr>
          <w:i w:val="0"/>
          <w:sz w:val="2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CONCERN</w:t>
            </w:r>
          </w:p>
        </w:tc>
        <w:tc>
          <w:tcPr>
            <w:tcW w:type="dxa" w:w="4797"/>
            <w:shd w:fill="F1F4F7"/>
          </w:tcPr>
          <w:p>
            <w:r/>
            <w:r>
              <w:rPr>
                <w:b/>
                <w:color w:val="5C6672"/>
                <w:sz w:val="14"/>
              </w:rPr>
              <w:t>FIELD</w:t>
            </w:r>
          </w:p>
        </w:tc>
        <w:tc>
          <w:tcPr>
            <w:tcW w:type="dxa" w:w="4797"/>
            <w:shd w:fill="F1F4F7"/>
          </w:tcPr>
          <w:p>
            <w:r/>
            <w:r>
              <w:rPr>
                <w:b/>
                <w:color w:val="5C6672"/>
                <w:sz w:val="14"/>
              </w:rPr>
              <w:t>RULE</w:t>
            </w:r>
          </w:p>
        </w:tc>
      </w:tr>
      <w:tr>
        <w:tc>
          <w:tcPr>
            <w:tcW w:type="dxa" w:w="4797"/>
          </w:tcPr>
          <w:p>
            <w:r/>
            <w:r>
              <w:rPr>
                <w:sz w:val="17"/>
              </w:rPr>
              <w:t>when it was computed</w:t>
            </w:r>
          </w:p>
        </w:tc>
        <w:tc>
          <w:tcPr>
            <w:tcW w:type="dxa" w:w="4797"/>
          </w:tcPr>
          <w:p>
            <w:r/>
            <w:r>
              <w:rPr>
                <w:sz w:val="17"/>
              </w:rPr>
              <w:t>computed_at</w:t>
            </w:r>
          </w:p>
        </w:tc>
        <w:tc>
          <w:tcPr>
            <w:tcW w:type="dxa" w:w="4797"/>
          </w:tcPr>
          <w:p>
            <w:r/>
            <w:r>
              <w:rPr>
                <w:sz w:val="17"/>
              </w:rPr>
              <w:t>staleness is measured from here, never from arrival</w:t>
            </w:r>
          </w:p>
        </w:tc>
      </w:tr>
      <w:tr>
        <w:tc>
          <w:tcPr>
            <w:tcW w:type="dxa" w:w="4797"/>
          </w:tcPr>
          <w:p>
            <w:r/>
            <w:r>
              <w:rPr>
                <w:sz w:val="17"/>
              </w:rPr>
              <w:t>who is asking</w:t>
            </w:r>
          </w:p>
        </w:tc>
        <w:tc>
          <w:tcPr>
            <w:tcW w:type="dxa" w:w="4797"/>
          </w:tcPr>
          <w:p>
            <w:r/>
            <w:r>
              <w:rPr>
                <w:sz w:val="17"/>
              </w:rPr>
              <w:t>cid</w:t>
            </w:r>
          </w:p>
        </w:tc>
        <w:tc>
          <w:tcPr>
            <w:tcW w:type="dxa" w:w="4797"/>
          </w:tcPr>
          <w:p>
            <w:r/>
            <w:r>
              <w:rPr>
                <w:sz w:val="17"/>
              </w:rPr>
              <w:t>one identity follows work across contexts</w:t>
            </w:r>
          </w:p>
        </w:tc>
      </w:tr>
      <w:tr>
        <w:tc>
          <w:tcPr>
            <w:tcW w:type="dxa" w:w="4797"/>
          </w:tcPr>
          <w:p>
            <w:r/>
            <w:r>
              <w:rPr>
                <w:sz w:val="17"/>
              </w:rPr>
              <w:t>what changed</w:t>
            </w:r>
          </w:p>
        </w:tc>
        <w:tc>
          <w:tcPr>
            <w:tcW w:type="dxa" w:w="4797"/>
          </w:tcPr>
          <w:p>
            <w:r/>
            <w:r>
              <w:rPr>
                <w:sz w:val="17"/>
              </w:rPr>
              <w:t>generation</w:t>
            </w:r>
          </w:p>
        </w:tc>
        <w:tc>
          <w:tcPr>
            <w:tcW w:type="dxa" w:w="4797"/>
          </w:tcPr>
          <w:p>
            <w:r/>
            <w:r>
              <w:rPr>
                <w:sz w:val="17"/>
              </w:rPr>
              <w:t>a gap is a missing message, not an accident</w:t>
            </w:r>
          </w:p>
        </w:tc>
      </w:tr>
      <w:tr>
        <w:tc>
          <w:tcPr>
            <w:tcW w:type="dxa" w:w="4797"/>
          </w:tcPr>
          <w:p>
            <w:r/>
            <w:r>
              <w:rPr>
                <w:sz w:val="17"/>
              </w:rPr>
              <w:t>what it read</w:t>
            </w:r>
          </w:p>
        </w:tc>
        <w:tc>
          <w:tcPr>
            <w:tcW w:type="dxa" w:w="4797"/>
          </w:tcPr>
          <w:p>
            <w:r/>
            <w:r>
              <w:rPr>
                <w:sz w:val="17"/>
              </w:rPr>
              <w:t>refs</w:t>
            </w:r>
          </w:p>
        </w:tc>
        <w:tc>
          <w:tcPr>
            <w:tcW w:type="dxa" w:w="4797"/>
          </w:tcPr>
          <w:p>
            <w:r/>
            <w:r>
              <w:rPr>
                <w:sz w:val="17"/>
              </w:rPr>
              <w:t>declared or derived, always with age</w:t>
            </w:r>
          </w:p>
        </w:tc>
      </w:tr>
      <w:tr>
        <w:tc>
          <w:tcPr>
            <w:tcW w:type="dxa" w:w="4797"/>
          </w:tcPr>
          <w:p>
            <w:r/>
            <w:r>
              <w:rPr>
                <w:sz w:val="17"/>
              </w:rPr>
              <w:t>what happened to it</w:t>
            </w:r>
          </w:p>
        </w:tc>
        <w:tc>
          <w:tcPr>
            <w:tcW w:type="dxa" w:w="4797"/>
          </w:tcPr>
          <w:p>
            <w:r/>
            <w:r>
              <w:rPr>
                <w:sz w:val="17"/>
              </w:rPr>
              <w:t>hops</w:t>
            </w:r>
          </w:p>
        </w:tc>
        <w:tc>
          <w:tcPr>
            <w:tcW w:type="dxa" w:w="4797"/>
          </w:tcPr>
          <w:p>
            <w:r/>
            <w:r>
              <w:rPr>
                <w:sz w:val="17"/>
              </w:rPr>
              <w:t>every stage, with outcome and duration</w:t>
            </w:r>
          </w:p>
        </w:tc>
      </w:tr>
    </w:tbl>
    <w:p>
      <w:pPr>
        <w:spacing w:after="120"/>
      </w:pPr>
      <w:r>
        <w:rPr>
          <w:i w:val="0"/>
          <w:sz w:val="20"/>
        </w:rPr>
        <w:t>A correlation id is minted locally at the boundary, so work can start without a central registry. Mapping it centrally and resolving it are separate, gated operations — a reader that cannot resolve still knows which id it was handed.</w:t>
      </w:r>
    </w:p>
    <w:p>
      <w:pPr>
        <w:pageBreakBefore/>
        <w:spacing w:before="40" w:after="120"/>
      </w:pPr>
      <w:r>
        <w:rPr>
          <w:b/>
          <w:color w:val="8A94A0"/>
          <w:sz w:val="22"/>
        </w:rPr>
        <w:t xml:space="preserve">14   </w:t>
      </w:r>
      <w:r>
        <w:rPr>
          <w:b/>
          <w:color w:val="1B4A6F"/>
          <w:sz w:val="38"/>
        </w:rPr>
        <w:t>What the model deliberately refuses to do</w:t>
      </w:r>
    </w:p>
    <w:p>
      <w:pPr>
        <w:spacing w:before="0" w:after="160"/>
        <w:shd w:val="clear" w:fill="EEF3F8"/>
        <w:pBdr>
          <w:left w:val="single" w:sz="24" w:space="8" w:color="2E6DB4"/>
        </w:pBdr>
      </w:pPr>
      <w:r>
        <w:rPr>
          <w:b/>
          <w:color w:val="2E6DB4"/>
          <w:sz w:val="15"/>
        </w:rPr>
        <w:t xml:space="preserve">WHAT THIS SHOWS   </w:t>
      </w:r>
      <w:r>
        <w:rPr>
          <w:color w:val="18202A"/>
          <w:sz w:val="19"/>
        </w:rPr>
        <w:t>The boundaries the model will not pretend to cross, stated so they can be argued with.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model is also a list of things it will not pretend to know. These are the boundaries, stated so they can be argued with.</w:t>
            </w:r>
          </w:p>
        </w:tc>
        <w:tc>
          <w:tcPr>
            <w:tcW w:type="dxa" w:w="5472"/>
          </w:tcPr>
          <w:p>
            <w:pPr>
              <w:spacing w:after="40"/>
            </w:pPr>
            <w:r/>
            <w:r>
              <w:rPr>
                <w:color w:val="2E6DB4"/>
                <w:sz w:val="18"/>
              </w:rPr>
              <w:t xml:space="preserve">· </w:t>
            </w:r>
            <w:r>
              <w:rPr>
                <w:sz w:val="18"/>
              </w:rPr>
              <w:t>it does not reconstruct what a producer read if the producer did not say so — it derives and labels</w:t>
            </w:r>
          </w:p>
          <w:p>
            <w:pPr>
              <w:spacing w:after="40"/>
            </w:pPr>
            <w:r>
              <w:rPr>
                <w:color w:val="2E6DB4"/>
                <w:sz w:val="18"/>
              </w:rPr>
              <w:t xml:space="preserve">· </w:t>
            </w:r>
            <w:r>
              <w:rPr>
                <w:sz w:val="18"/>
              </w:rPr>
              <w:t>it does not treat a dashboard as the record; the journal is the record</w:t>
            </w:r>
          </w:p>
          <w:p>
            <w:pPr>
              <w:spacing w:after="40"/>
            </w:pPr>
            <w:r>
              <w:rPr>
                <w:color w:val="2E6DB4"/>
                <w:sz w:val="18"/>
              </w:rPr>
              <w:t xml:space="preserve">· </w:t>
            </w:r>
            <w:r>
              <w:rPr>
                <w:sz w:val="18"/>
              </w:rPr>
              <w:t>it does not let a viewer write, which is why the explorer has no write path</w:t>
            </w:r>
          </w:p>
          <w:p>
            <w:pPr>
              <w:spacing w:after="40"/>
            </w:pPr>
            <w:r>
              <w:rPr>
                <w:color w:val="2E6DB4"/>
                <w:sz w:val="18"/>
              </w:rPr>
              <w:t xml:space="preserve">· </w:t>
            </w:r>
            <w:r>
              <w:rPr>
                <w:sz w:val="18"/>
              </w:rPr>
              <w:t>it does not hide a loss: a losing exit is booked, not deferred forever</w:t>
            </w:r>
          </w:p>
          <w:p>
            <w:pPr>
              <w:spacing w:after="40"/>
            </w:pPr>
            <w:r>
              <w:rPr>
                <w:color w:val="2E6DB4"/>
                <w:sz w:val="18"/>
              </w:rPr>
              <w:t xml:space="preserve">· </w:t>
            </w:r>
            <w:r>
              <w:rPr>
                <w:sz w:val="18"/>
              </w:rPr>
              <w:t>it does not call a stopped book running, or an empty book profitable</w:t>
            </w:r>
          </w:p>
        </w:tc>
      </w:tr>
    </w:tbl>
    <w:p>
      <w:pPr>
        <w:pageBreakBefore/>
        <w:spacing w:before="40" w:after="120"/>
      </w:pPr>
      <w:r>
        <w:rPr>
          <w:b/>
          <w:color w:val="1B4A6F"/>
          <w:sz w:val="38"/>
        </w:rPr>
        <w:t>Colophon</w:t>
      </w:r>
    </w:p>
    <w:p>
      <w:pPr>
        <w:spacing w:before="0" w:after="160"/>
        <w:shd w:val="clear" w:fill="EEF3F8"/>
        <w:pBdr>
          <w:left w:val="single" w:sz="24" w:space="8" w:color="2E6DB4"/>
        </w:pBdr>
      </w:pPr>
      <w:r>
        <w:rPr>
          <w:b/>
          <w:color w:val="2E6DB4"/>
          <w:sz w:val="15"/>
        </w:rPr>
        <w:t xml:space="preserve">WHAT THIS SHOWS   </w:t>
      </w:r>
      <w:r>
        <w:rPr>
          <w:color w:val="18202A"/>
          <w:sz w:val="19"/>
        </w:rPr>
        <w:t>Where this document comes from, and how to regenerate it.</w:t>
      </w:r>
    </w:p>
    <w:p>
      <w:pPr>
        <w:spacing w:after="120"/>
      </w:pPr>
      <w:r>
        <w:rPr>
          <w:i w:val="0"/>
          <w:color w:val="18202A"/>
          <w:sz w:val="19"/>
        </w:rPr>
        <w:t>Platform build 1.0.0 · 823eb7a · 2026-10-21   ·   domain model · revision 1.0</w:t>
      </w:r>
    </w:p>
    <w:p>
      <w:pPr>
        <w:spacing w:after="120"/>
      </w:pPr>
      <w:r>
        <w:rPr>
          <w:i w:val="0"/>
          <w:color w:val="5C6672"/>
          <w:sz w:val="18"/>
        </w:rPr>
        <w:t>© 2026 CryptAlyst · designed by Andrew Preston · built by the CryptAlyst engineering team</w:t>
      </w:r>
    </w:p>
    <w:p>
      <w:pPr>
        <w:spacing w:after="120"/>
      </w:pPr>
      <w:r>
        <w:rPr>
          <w:i w:val="0"/>
          <w:sz w:val="18"/>
        </w:rPr>
        <w:t>The text lives once in content.py; the Markdown and this PDF are both generated from it, so they cannot disagree. The figures are drawn as SVG by diagrams.py and cover.py, rendered to PNG by render_figs.py, and placed here by build_pdf.py.</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ARTIFACT</w:t>
            </w:r>
          </w:p>
        </w:tc>
        <w:tc>
          <w:tcPr>
            <w:tcW w:type="dxa" w:w="7195"/>
            <w:shd w:fill="F1F4F7"/>
          </w:tcPr>
          <w:p>
            <w:r/>
            <w:r>
              <w:rPr>
                <w:b/>
                <w:color w:val="5C6672"/>
                <w:sz w:val="14"/>
              </w:rPr>
              <w:t>COMMAND</w:t>
            </w:r>
          </w:p>
        </w:tc>
      </w:tr>
      <w:tr>
        <w:tc>
          <w:tcPr>
            <w:tcW w:type="dxa" w:w="7195"/>
          </w:tcPr>
          <w:p>
            <w:r/>
            <w:r>
              <w:rPr>
                <w:sz w:val="17"/>
              </w:rPr>
              <w:t>figures</w:t>
            </w:r>
          </w:p>
        </w:tc>
        <w:tc>
          <w:tcPr>
            <w:tcW w:type="dxa" w:w="7195"/>
          </w:tcPr>
          <w:p>
            <w:r/>
            <w:r>
              <w:rPr>
                <w:sz w:val="17"/>
              </w:rPr>
              <w:t>python3 diagrams.py &amp;&amp; python3 cover.py &amp;&amp; python3 render_figs.py</w:t>
            </w:r>
          </w:p>
        </w:tc>
      </w:tr>
      <w:tr>
        <w:tc>
          <w:tcPr>
            <w:tcW w:type="dxa" w:w="7195"/>
          </w:tcPr>
          <w:p>
            <w:r/>
            <w:r>
              <w:rPr>
                <w:sz w:val="17"/>
              </w:rPr>
              <w:t>markdown</w:t>
            </w:r>
          </w:p>
        </w:tc>
        <w:tc>
          <w:tcPr>
            <w:tcW w:type="dxa" w:w="7195"/>
          </w:tcPr>
          <w:p>
            <w:r/>
            <w:r>
              <w:rPr>
                <w:sz w:val="17"/>
              </w:rPr>
              <w:t>python3 build_md.py</w:t>
            </w:r>
          </w:p>
        </w:tc>
      </w:tr>
      <w:tr>
        <w:tc>
          <w:tcPr>
            <w:tcW w:type="dxa" w:w="7195"/>
          </w:tcPr>
          <w:p>
            <w:r/>
            <w:r>
              <w:rPr>
                <w:sz w:val="17"/>
              </w:rPr>
              <w:t>pdf</w:t>
            </w:r>
          </w:p>
        </w:tc>
        <w:tc>
          <w:tcPr>
            <w:tcW w:type="dxa" w:w="7195"/>
          </w:tcPr>
          <w:p>
            <w:r/>
            <w:r>
              <w:rPr>
                <w:sz w:val="17"/>
              </w:rPr>
              <w:t>python3 build_pdf.py &amp;&amp; libreoffice --convert-to pdf</w:t>
            </w:r>
          </w:p>
        </w:tc>
      </w:tr>
    </w:tbl>
    <w:sectPr w:rsidR="00FC693F" w:rsidRPr="0006063C" w:rsidSect="00034616">
      <w:footerReference w:type="default" r:id="rId10"/>
      <w:pgSz w:w="16838" w:h="11906" w:orient="landscape"/>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94A0"/>
        <w:sz w:val="15"/>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820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