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left"/>
      </w:pPr>
      <w:r>
        <w:rPr>
          <w:b/>
          <w:bCs/>
          <w:sz w:val="32"/>
          <w:szCs w:val="32"/>
        </w:rPr>
        <w:t xml:space="preserve">Methods: Fluorescence polarization data analysis</w:t>
      </w:r>
    </w:p>
    <w:p>
      <w:pPr>
        <w:pStyle w:val="Heading2"/>
        <w:spacing w:after="100" w:before="200"/>
      </w:pPr>
      <w:r>
        <w:rPr>
          <w:b/>
          <w:bCs/>
          <w:sz w:val="24"/>
          <w:szCs w:val="24"/>
        </w:rPr>
        <w:t xml:space="preserve">Plate layout and fluorescence polarization measurements</w:t>
      </w:r>
    </w:p>
    <w:p>
      <w:pPr>
        <w:spacing w:after="120" w:line="300"/>
        <w:jc w:val="both"/>
      </w:pPr>
      <w:r>
        <w:t xml:space="preserve">Equilibrium binding of a fluorescently labelled ligand to its protein partner was monitored by fluorescence polarization (FP) in a 384-well plate format. Each plate included four well classes that are recognized by the analysis pipeline: </w:t>
      </w:r>
      <w:r>
        <w:rPr>
          <w:b/>
          <w:bCs/>
        </w:rPr>
        <w:t xml:space="preserve">blank</w:t>
      </w:r>
      <w:r>
        <w:t xml:space="preserve"> wells containing assay buffer only (used for background subtraction of </w:t>
      </w:r>
      <w:r>
        <w:rPr>
          <w:i/>
          <w:iCs/>
        </w:rPr>
        <w:t xml:space="preserve">I</w:t>
      </w:r>
      <w:r>
        <w:rPr>
          <w:vertAlign w:val="subscript"/>
        </w:rPr>
        <w:t xml:space="preserve">∥</w:t>
      </w:r>
      <w:r>
        <w:t xml:space="preserve"> and </w:t>
      </w:r>
      <w:r>
        <w:rPr>
          <w:i/>
          <w:iCs/>
        </w:rPr>
        <w:t xml:space="preserve">I</w:t>
      </w:r>
      <w:r>
        <w:rPr>
          <w:vertAlign w:val="subscript"/>
        </w:rPr>
        <w:t xml:space="preserve">⊥</w:t>
      </w:r>
      <w:r>
        <w:t xml:space="preserve">); </w:t>
      </w:r>
      <w:r>
        <w:rPr>
          <w:b/>
          <w:bCs/>
        </w:rPr>
        <w:t xml:space="preserve">calibration</w:t>
      </w:r>
      <w:r>
        <w:t xml:space="preserve"> wells containing the free fluorophore at a concentration matched to the labelled ligand (used to derive the instrument </w:t>
      </w:r>
      <w:r>
        <w:rPr>
          <w:i/>
          <w:iCs/>
        </w:rPr>
        <w:t xml:space="preserve">G</w:t>
      </w:r>
      <w:r>
        <w:t xml:space="preserve">-factor from the known reference anisotropy of the free probe); </w:t>
      </w:r>
      <w:r>
        <w:rPr>
          <w:b/>
          <w:bCs/>
        </w:rPr>
        <w:t xml:space="preserve">substrate</w:t>
      </w:r>
      <w:r>
        <w:t xml:space="preserve"> wells containing the labelled ligand alone, with no protein (used as the negative control for the </w:t>
      </w:r>
      <w:r>
        <w:rPr>
          <w:i/>
          <w:iCs/>
        </w:rPr>
        <w:t xml:space="preserve">Z</w:t>
      </w:r>
      <w:r>
        <w:rPr>
          <w:vertAlign w:val="superscript"/>
        </w:rPr>
        <w:t xml:space="preserve">′</w:t>
      </w:r>
      <w:r>
        <w:t xml:space="preserve">-factor and as an empirical estimate of </w:t>
      </w:r>
      <w:r>
        <w:rPr>
          <w:i/>
          <w:iCs/>
        </w:rPr>
        <w:t xml:space="preserve">A</w:t>
      </w:r>
      <w:r>
        <w:rPr>
          <w:vertAlign w:val="subscript"/>
        </w:rPr>
        <w:t xml:space="preserve">free</w:t>
      </w:r>
      <w:r>
        <w:t xml:space="preserve">); and a </w:t>
      </w:r>
      <w:r>
        <w:rPr>
          <w:b/>
          <w:bCs/>
        </w:rPr>
        <w:t xml:space="preserve">titration series</w:t>
      </w:r>
      <w:r>
        <w:t xml:space="preserve"> of the labelled ligand at a fixed concentration with a serial dilution of the binding partner (typically 8–12 concentrations in 2- or 3-fold steps, in technical triplicate). Parallel (</w:t>
      </w:r>
      <w:r>
        <w:rPr>
          <w:i/>
          <w:iCs/>
        </w:rPr>
        <w:t xml:space="preserve">I</w:t>
      </w:r>
      <w:r>
        <w:rPr>
          <w:vertAlign w:val="subscript"/>
        </w:rPr>
        <w:t xml:space="preserve">∥</w:t>
      </w:r>
      <w:r>
        <w:t xml:space="preserve">) and perpendicular (</w:t>
      </w:r>
      <w:r>
        <w:rPr>
          <w:i/>
          <w:iCs/>
        </w:rPr>
        <w:t xml:space="preserve">I</w:t>
      </w:r>
      <w:r>
        <w:rPr>
          <w:vertAlign w:val="subscript"/>
        </w:rPr>
        <w:t xml:space="preserve">⊥</w:t>
      </w:r>
      <w:r>
        <w:t xml:space="preserve">) emission intensities were recorded after equilibration at the assay temperature; the requirement for adequate equilibration is discussed in (Jarmoskaite et al., 2020) and must be verified by the experimenter prior to analysis.</w:t>
      </w:r>
    </w:p>
    <w:p>
      <w:pPr>
        <w:pStyle w:val="Heading2"/>
        <w:spacing w:after="100" w:before="200"/>
      </w:pPr>
      <w:r>
        <w:rPr>
          <w:b/>
          <w:bCs/>
          <w:sz w:val="24"/>
          <w:szCs w:val="24"/>
        </w:rPr>
        <w:t xml:space="preserve">G-factor calibration and anisotropy calculation</w:t>
      </w:r>
    </w:p>
    <w:p>
      <w:pPr>
        <w:spacing w:after="120" w:line="300"/>
        <w:jc w:val="both"/>
      </w:pPr>
      <w:r>
        <w:t xml:space="preserve">Polarization </w:t>
      </w:r>
      <w:r>
        <w:rPr>
          <w:i/>
          <w:iCs/>
        </w:rPr>
        <w:t xml:space="preserve">P</w:t>
      </w:r>
      <w:r>
        <w:t xml:space="preserve"> and anisotropy </w:t>
      </w:r>
      <w:r>
        <w:rPr>
          <w:i/>
          <w:iCs/>
        </w:rPr>
        <w:t xml:space="preserve">r</w:t>
      </w:r>
      <w:r>
        <w:t xml:space="preserve"> were computed from background-subtracted intensities according to the standard definitions (Lakowicz, 2006; Tranter, 2010):</w:t>
      </w:r>
    </w:p>
    <w:p>
      <w:pPr>
        <w:spacing w:after="100" w:before="100"/>
        <w:jc w:val="center"/>
      </w:pPr>
      <w:r>
        <w:rPr>
          <w:i/>
          <w:iCs/>
        </w:rPr>
        <w:t xml:space="preserve">r</w:t>
      </w:r>
      <w:r>
        <w:t xml:space="preserve"> = (</w:t>
      </w:r>
      <w:r>
        <w:rPr>
          <w:i/>
          <w:iCs/>
        </w:rPr>
        <w:t xml:space="preserve">I</w:t>
      </w:r>
      <w:r>
        <w:rPr>
          <w:vertAlign w:val="subscript"/>
        </w:rPr>
        <w:t xml:space="preserve">∥</w:t>
      </w:r>
      <w:r>
        <w:t xml:space="preserve"> − </w:t>
      </w:r>
      <w:r>
        <w:rPr>
          <w:i/>
          <w:iCs/>
        </w:rPr>
        <w:t xml:space="preserve">G</w:t>
      </w:r>
      <w:r>
        <w:t xml:space="preserve"> · </w:t>
      </w:r>
      <w:r>
        <w:rPr>
          <w:i/>
          <w:iCs/>
        </w:rPr>
        <w:t xml:space="preserve">I</w:t>
      </w:r>
      <w:r>
        <w:rPr>
          <w:vertAlign w:val="subscript"/>
        </w:rPr>
        <w:t xml:space="preserve">⊥</w:t>
      </w:r>
      <w:r>
        <w:t xml:space="preserve">) / (</w:t>
      </w:r>
      <w:r>
        <w:rPr>
          <w:i/>
          <w:iCs/>
        </w:rPr>
        <w:t xml:space="preserve">I</w:t>
      </w:r>
      <w:r>
        <w:rPr>
          <w:vertAlign w:val="subscript"/>
        </w:rPr>
        <w:t xml:space="preserve">∥</w:t>
      </w:r>
      <w:r>
        <w:t xml:space="preserve"> + 2</w:t>
      </w:r>
      <w:r>
        <w:rPr>
          <w:i/>
          <w:iCs/>
        </w:rPr>
        <w:t xml:space="preserve">G</w:t>
      </w:r>
      <w:r>
        <w:t xml:space="preserve"> · </w:t>
      </w:r>
      <w:r>
        <w:rPr>
          <w:i/>
          <w:iCs/>
        </w:rPr>
        <w:t xml:space="preserve">I</w:t>
      </w:r>
      <w:r>
        <w:rPr>
          <w:vertAlign w:val="subscript"/>
        </w:rPr>
        <w:t xml:space="preserve">⊥</w:t>
      </w:r>
      <w:r>
        <w:t xml:space="preserve">)</w:t>
      </w:r>
      <w:r>
        <w:t xml:space="preserve">		(1)</w:t>
      </w:r>
    </w:p>
    <w:p>
      <w:pPr>
        <w:spacing w:after="120" w:line="300"/>
        <w:jc w:val="both"/>
      </w:pPr>
      <w:r>
        <w:t xml:space="preserve">where the instrument </w:t>
      </w:r>
      <w:r>
        <w:rPr>
          <w:i/>
          <w:iCs/>
        </w:rPr>
        <w:t xml:space="preserve">G</w:t>
      </w:r>
      <w:r>
        <w:t xml:space="preserve">-factor corrects for the unequal sensitivity of the parallel and perpendicular detection channels. Rather than relying on a horizontally polarized excitation calibration, the pipeline derives </w:t>
      </w:r>
      <w:r>
        <w:rPr>
          <w:i/>
          <w:iCs/>
        </w:rPr>
        <w:t xml:space="preserve">G</w:t>
      </w:r>
      <w:r>
        <w:t xml:space="preserve"> from dedicated calibration wells containing the free fluorophore, whose limiting anisotropy </w:t>
      </w:r>
      <w:r>
        <w:rPr>
          <w:i/>
          <w:iCs/>
        </w:rPr>
        <w:t xml:space="preserve">A</w:t>
      </w:r>
      <w:r>
        <w:rPr>
          <w:vertAlign w:val="subscript"/>
        </w:rPr>
        <w:t xml:space="preserve">ref</w:t>
      </w:r>
      <w:r>
        <w:t xml:space="preserve"> is supplied by the user (default </w:t>
      </w:r>
      <w:r>
        <w:rPr>
          <w:i/>
          <w:iCs/>
        </w:rPr>
        <w:t xml:space="preserve">A</w:t>
      </w:r>
      <w:r>
        <w:rPr>
          <w:vertAlign w:val="subscript"/>
        </w:rPr>
        <w:t xml:space="preserve">ref</w:t>
      </w:r>
      <w:r>
        <w:t xml:space="preserve"> = 0.035 for fluorescein-class probes in aqueous buffer):</w:t>
      </w:r>
    </w:p>
    <w:p>
      <w:pPr>
        <w:spacing w:after="100" w:before="100"/>
        <w:jc w:val="center"/>
      </w:pPr>
      <w:r>
        <w:rPr>
          <w:i/>
          <w:iCs/>
        </w:rPr>
        <w:t xml:space="preserve">G</w:t>
      </w:r>
      <w:r>
        <w:t xml:space="preserve"> = </w:t>
      </w:r>
      <w:r>
        <w:rPr>
          <w:i/>
          <w:iCs/>
        </w:rPr>
        <w:t xml:space="preserve">I</w:t>
      </w:r>
      <w:r>
        <w:rPr>
          <w:vertAlign w:val="subscript"/>
        </w:rPr>
        <w:t xml:space="preserve">∥</w:t>
      </w:r>
      <w:r>
        <w:t xml:space="preserve"> · (1 − </w:t>
      </w:r>
      <w:r>
        <w:rPr>
          <w:i/>
          <w:iCs/>
        </w:rPr>
        <w:t xml:space="preserve">A</w:t>
      </w:r>
      <w:r>
        <w:rPr>
          <w:vertAlign w:val="subscript"/>
        </w:rPr>
        <w:t xml:space="preserve">ref</w:t>
      </w:r>
      <w:r>
        <w:t xml:space="preserve">) / [</w:t>
      </w:r>
      <w:r>
        <w:rPr>
          <w:i/>
          <w:iCs/>
        </w:rPr>
        <w:t xml:space="preserve">I</w:t>
      </w:r>
      <w:r>
        <w:rPr>
          <w:vertAlign w:val="subscript"/>
        </w:rPr>
        <w:t xml:space="preserve">⊥</w:t>
      </w:r>
      <w:r>
        <w:t xml:space="preserve"> · (1 + 2</w:t>
      </w:r>
      <w:r>
        <w:rPr>
          <w:i/>
          <w:iCs/>
        </w:rPr>
        <w:t xml:space="preserve">A</w:t>
      </w:r>
      <w:r>
        <w:rPr>
          <w:vertAlign w:val="subscript"/>
        </w:rPr>
        <w:t xml:space="preserve">ref</w:t>
      </w:r>
      <w:r>
        <w:t xml:space="preserve">)]</w:t>
      </w:r>
      <w:r>
        <w:t xml:space="preserve">		(2)</w:t>
      </w:r>
    </w:p>
    <w:p>
      <w:pPr>
        <w:spacing w:after="120" w:line="300"/>
        <w:jc w:val="both"/>
      </w:pPr>
      <w:r>
        <w:t xml:space="preserve">This formulation makes </w:t>
      </w:r>
      <w:r>
        <w:rPr>
          <w:i/>
          <w:iCs/>
        </w:rPr>
        <w:t xml:space="preserve">G</w:t>
      </w:r>
      <w:r>
        <w:t xml:space="preserve"> robust to typical pipetting variability across the calibration replicates and yields a global </w:t>
      </w:r>
      <w:r>
        <w:rPr>
          <w:i/>
          <w:iCs/>
        </w:rPr>
        <w:t xml:space="preserve">G</w:t>
      </w:r>
      <w:r>
        <w:t xml:space="preserve"> value with its standard error. Buffer-only blanks averaged within each experimental condition are subtracted from </w:t>
      </w:r>
      <w:r>
        <w:rPr>
          <w:i/>
          <w:iCs/>
        </w:rPr>
        <w:t xml:space="preserve">I</w:t>
      </w:r>
      <w:r>
        <w:rPr>
          <w:vertAlign w:val="subscript"/>
        </w:rPr>
        <w:t xml:space="preserve">∥</w:t>
      </w:r>
      <w:r>
        <w:t xml:space="preserve"> and </w:t>
      </w:r>
      <w:r>
        <w:rPr>
          <w:i/>
          <w:iCs/>
        </w:rPr>
        <w:t xml:space="preserve">I</w:t>
      </w:r>
      <w:r>
        <w:rPr>
          <w:vertAlign w:val="subscript"/>
        </w:rPr>
        <w:t xml:space="preserve">⊥</w:t>
      </w:r>
      <w:r>
        <w:t xml:space="preserve"> before equation (1) is applied. Analysis is performed on anisotropy rather than polarization because </w:t>
      </w:r>
      <w:r>
        <w:rPr>
          <w:i/>
          <w:iCs/>
        </w:rPr>
        <w:t xml:space="preserve">r</w:t>
      </w:r>
      <w:r>
        <w:t xml:space="preserve"> obeys the simple linear additivity rule for mixtures of fluorescent species, whereas </w:t>
      </w:r>
      <w:r>
        <w:rPr>
          <w:i/>
          <w:iCs/>
        </w:rPr>
        <w:t xml:space="preserve">P</w:t>
      </w:r>
      <w:r>
        <w:t xml:space="preserve"> does not (Jameson and Croney, 2003; Tranter, 2010).</w:t>
      </w:r>
    </w:p>
    <w:p>
      <w:pPr>
        <w:pStyle w:val="Heading2"/>
        <w:spacing w:after="100" w:before="200"/>
      </w:pPr>
      <w:r>
        <w:rPr>
          <w:b/>
          <w:bCs/>
          <w:sz w:val="24"/>
          <w:szCs w:val="24"/>
        </w:rPr>
        <w:t xml:space="preserve">Binding models and curve fitting</w:t>
      </w:r>
    </w:p>
    <w:p>
      <w:pPr>
        <w:spacing w:after="120" w:line="300"/>
        <w:jc w:val="both"/>
      </w:pPr>
      <w:r>
        <w:t xml:space="preserve">For a two-state mixture of free and bound labelled ligand, the observed anisotropy is related to the bound fraction </w:t>
      </w:r>
      <w:r>
        <w:rPr>
          <w:i/>
          <w:iCs/>
        </w:rPr>
        <w:t xml:space="preserve">F</w:t>
      </w:r>
      <w:r>
        <w:rPr>
          <w:vertAlign w:val="subscript"/>
        </w:rPr>
        <w:t xml:space="preserve">SB</w:t>
      </w:r>
      <w:r>
        <w:t xml:space="preserve"> by (Roehrl et al., 2004):</w:t>
      </w:r>
    </w:p>
    <w:p>
      <w:pPr>
        <w:spacing w:after="100" w:before="100"/>
        <w:jc w:val="center"/>
      </w:pPr>
      <w:r>
        <w:rPr>
          <w:i/>
          <w:iCs/>
        </w:rPr>
        <w:t xml:space="preserve">A</w:t>
      </w:r>
      <w:r>
        <w:rPr>
          <w:vertAlign w:val="subscript"/>
        </w:rPr>
        <w:t xml:space="preserve">obs</w:t>
      </w:r>
      <w:r>
        <w:t xml:space="preserve"> = [</w:t>
      </w:r>
      <w:r>
        <w:rPr>
          <w:i/>
          <w:iCs/>
        </w:rPr>
        <w:t xml:space="preserve">Q</w:t>
      </w:r>
      <w:r>
        <w:rPr>
          <w:i/>
          <w:iCs/>
        </w:rPr>
        <w:t xml:space="preserve">F</w:t>
      </w:r>
      <w:r>
        <w:rPr>
          <w:vertAlign w:val="subscript"/>
        </w:rPr>
        <w:t xml:space="preserve">SB</w:t>
      </w:r>
      <w:r>
        <w:rPr>
          <w:i/>
          <w:iCs/>
        </w:rPr>
        <w:t xml:space="preserve">A</w:t>
      </w:r>
      <w:r>
        <w:rPr>
          <w:vertAlign w:val="subscript"/>
        </w:rPr>
        <w:t xml:space="preserve">bound</w:t>
      </w:r>
      <w:r>
        <w:t xml:space="preserve"> + (1 − </w:t>
      </w:r>
      <w:r>
        <w:rPr>
          <w:i/>
          <w:iCs/>
        </w:rPr>
        <w:t xml:space="preserve">F</w:t>
      </w:r>
      <w:r>
        <w:rPr>
          <w:vertAlign w:val="subscript"/>
        </w:rPr>
        <w:t xml:space="preserve">SB</w:t>
      </w:r>
      <w:r>
        <w:t xml:space="preserve">) </w:t>
      </w:r>
      <w:r>
        <w:rPr>
          <w:i/>
          <w:iCs/>
        </w:rPr>
        <w:t xml:space="preserve">A</w:t>
      </w:r>
      <w:r>
        <w:rPr>
          <w:vertAlign w:val="subscript"/>
        </w:rPr>
        <w:t xml:space="preserve">free</w:t>
      </w:r>
      <w:r>
        <w:t xml:space="preserve">] / [1 − (1 − </w:t>
      </w:r>
      <w:r>
        <w:rPr>
          <w:i/>
          <w:iCs/>
        </w:rPr>
        <w:t xml:space="preserve">Q</w:t>
      </w:r>
      <w:r>
        <w:t xml:space="preserve">) </w:t>
      </w:r>
      <w:r>
        <w:rPr>
          <w:i/>
          <w:iCs/>
        </w:rPr>
        <w:t xml:space="preserve">F</w:t>
      </w:r>
      <w:r>
        <w:rPr>
          <w:vertAlign w:val="subscript"/>
        </w:rPr>
        <w:t xml:space="preserve">SB</w:t>
      </w:r>
      <w:r>
        <w:t xml:space="preserve">]</w:t>
      </w:r>
      <w:r>
        <w:t xml:space="preserve">		(3)</w:t>
      </w:r>
    </w:p>
    <w:p>
      <w:pPr>
        <w:spacing w:after="120" w:line="300"/>
        <w:jc w:val="both"/>
      </w:pPr>
      <w:r>
        <w:t xml:space="preserve">where </w:t>
      </w:r>
      <w:r>
        <w:rPr>
          <w:i/>
          <w:iCs/>
        </w:rPr>
        <w:t xml:space="preserve">Q</w:t>
      </w:r>
      <w:r>
        <w:t xml:space="preserve"> is the ratio of the total fluorescence intensities of the bound and free probe. </w:t>
      </w:r>
      <w:r>
        <w:rPr>
          <w:i/>
          <w:iCs/>
        </w:rPr>
        <w:t xml:space="preserve">Q</w:t>
      </w:r>
      <w:r>
        <w:t xml:space="preserve"> is estimated empirically as the ratio of the mean total intensity (</w:t>
      </w:r>
      <w:r>
        <w:rPr>
          <w:i/>
          <w:iCs/>
        </w:rPr>
        <w:t xml:space="preserve">I</w:t>
      </w:r>
      <w:r>
        <w:rPr>
          <w:vertAlign w:val="subscript"/>
        </w:rPr>
        <w:t xml:space="preserve">∥</w:t>
      </w:r>
      <w:r>
        <w:t xml:space="preserve"> + 2</w:t>
      </w:r>
      <w:r>
        <w:rPr>
          <w:i/>
          <w:iCs/>
        </w:rPr>
        <w:t xml:space="preserve">G</w:t>
      </w:r>
      <w:r>
        <w:rPr>
          <w:i/>
          <w:iCs/>
        </w:rPr>
        <w:t xml:space="preserve">I</w:t>
      </w:r>
      <w:r>
        <w:rPr>
          <w:vertAlign w:val="subscript"/>
        </w:rPr>
        <w:t xml:space="preserve">⊥</w:t>
      </w:r>
      <w:r>
        <w:t xml:space="preserve">) at the highest and lowest protein concentrations of the titration series; </w:t>
      </w:r>
      <w:r>
        <w:rPr>
          <w:i/>
          <w:iCs/>
        </w:rPr>
        <w:t xml:space="preserve">Q</w:t>
      </w:r>
      <w:r>
        <w:t xml:space="preserve"> = 1 indicates that the fluorescence yield of the probe is unchanged upon binding, and is the typical assumption when the fluorophore is not directly involved in the binding interface (Roehrl et al., 2004).</w:t>
      </w:r>
    </w:p>
    <w:p>
      <w:pPr>
        <w:spacing w:after="120" w:line="300"/>
        <w:jc w:val="both"/>
      </w:pPr>
      <w:r>
        <w:t xml:space="preserve">Three direct-binding models are available, all fitted to the observed anisotropy via equation (3) using non-linear least squares with the Levenberg–Marquardt algorithm as implemented in </w:t>
      </w:r>
      <w:r>
        <w:rPr>
          <w:i/>
          <w:iCs/>
        </w:rPr>
        <w:t xml:space="preserve">lmfit</w:t>
      </w:r>
      <w:r>
        <w:t xml:space="preserve"> for Python (Newville et al., 2014). Let </w:t>
      </w:r>
      <w:r>
        <w:rPr>
          <w:b w:val="false"/>
          <w:bCs w:val="false"/>
        </w:rPr>
        <w:t xml:space="preserve">[</w:t>
      </w:r>
      <w:r>
        <w:rPr>
          <w:i/>
          <w:iCs/>
        </w:rPr>
        <w:t xml:space="preserve">P</w:t>
      </w:r>
      <w:r>
        <w:t xml:space="preserve">]</w:t>
      </w:r>
      <w:r>
        <w:rPr>
          <w:vertAlign w:val="subscript"/>
        </w:rPr>
        <w:t xml:space="preserve">T</w:t>
      </w:r>
      <w:r>
        <w:t xml:space="preserve"> denote the total protein concentration (the variable component) and [L]</w:t>
      </w:r>
      <w:r>
        <w:rPr>
          <w:vertAlign w:val="subscript"/>
        </w:rPr>
        <w:t xml:space="preserve">T</w:t>
      </w:r>
      <w:r>
        <w:t xml:space="preserve"> the fixed total concentration of the labelled ligand.</w:t>
      </w:r>
    </w:p>
    <w:p>
      <w:pPr>
        <w:spacing w:after="120" w:line="300"/>
        <w:jc w:val="both"/>
      </w:pPr>
      <w:r>
        <w:rPr>
          <w:i/>
          <w:iCs/>
        </w:rPr>
        <w:t xml:space="preserve">(i) One-site hyperbolic</w:t>
      </w:r>
      <w:r>
        <w:t xml:space="preserve">. The </w:t>
      </w:r>
      <w:r>
        <w:rPr>
          <w:b w:val="false"/>
          <w:bCs w:val="false"/>
        </w:rPr>
        <w:t xml:space="preserve">[</w:t>
      </w:r>
      <w:r>
        <w:rPr>
          <w:i/>
          <w:iCs/>
        </w:rPr>
        <w:t xml:space="preserve">P</w:t>
      </w:r>
      <w:r>
        <w:t xml:space="preserve">]</w:t>
      </w:r>
      <w:r>
        <w:rPr>
          <w:vertAlign w:val="subscript"/>
        </w:rPr>
        <w:t xml:space="preserve">free</w:t>
      </w:r>
      <w:r>
        <w:t xml:space="preserve"> ≈ [</w:t>
      </w:r>
      <w:r>
        <w:rPr>
          <w:i/>
          <w:iCs/>
        </w:rPr>
        <w:t xml:space="preserve">P</w:t>
      </w:r>
      <w:r>
        <w:t xml:space="preserve">]</w:t>
      </w:r>
      <w:r>
        <w:rPr>
          <w:vertAlign w:val="subscript"/>
        </w:rPr>
        <w:t xml:space="preserve">T</w:t>
      </w:r>
      <w:r>
        <w:t xml:space="preserve"> approximation gives:</w:t>
      </w:r>
    </w:p>
    <w:p>
      <w:pPr>
        <w:spacing w:after="100" w:before="100"/>
        <w:jc w:val="center"/>
      </w:pPr>
      <w:r>
        <w:rPr>
          <w:i/>
          <w:iCs/>
        </w:rPr>
        <w:t xml:space="preserve">F</w:t>
      </w:r>
      <w:r>
        <w:rPr>
          <w:vertAlign w:val="subscript"/>
        </w:rPr>
        <w:t xml:space="preserve">SB</w:t>
      </w:r>
      <w:r>
        <w:t xml:space="preserve"> = [</w:t>
      </w:r>
      <w:r>
        <w:rPr>
          <w:i/>
          <w:iCs/>
        </w:rPr>
        <w:t xml:space="preserve">P</w:t>
      </w:r>
      <w:r>
        <w:t xml:space="preserve">]</w:t>
      </w:r>
      <w:r>
        <w:rPr>
          <w:vertAlign w:val="subscript"/>
        </w:rPr>
        <w:t xml:space="preserve">T</w:t>
      </w:r>
      <w:r>
        <w:t xml:space="preserve"> / (</w:t>
      </w:r>
      <w:r>
        <w:rPr>
          <w:i/>
          <w:iCs/>
        </w:rPr>
        <w:t xml:space="preserve">K</w:t>
      </w:r>
      <w:r>
        <w:rPr>
          <w:vertAlign w:val="subscript"/>
        </w:rPr>
        <w:t xml:space="preserve">D</w:t>
      </w:r>
      <w:r>
        <w:t xml:space="preserve"> + [</w:t>
      </w:r>
      <w:r>
        <w:rPr>
          <w:i/>
          <w:iCs/>
        </w:rPr>
        <w:t xml:space="preserve">P</w:t>
      </w:r>
      <w:r>
        <w:t xml:space="preserve">]</w:t>
      </w:r>
      <w:r>
        <w:rPr>
          <w:vertAlign w:val="subscript"/>
        </w:rPr>
        <w:t xml:space="preserve">T</w:t>
      </w:r>
      <w:r>
        <w:t xml:space="preserve">)</w:t>
      </w:r>
      <w:r>
        <w:t xml:space="preserve">		(4)</w:t>
      </w:r>
    </w:p>
    <w:p>
      <w:pPr>
        <w:spacing w:after="120" w:line="300"/>
        <w:jc w:val="both"/>
      </w:pPr>
      <w:r>
        <w:t xml:space="preserve">This form is valid only when [L]</w:t>
      </w:r>
      <w:r>
        <w:rPr>
          <w:vertAlign w:val="subscript"/>
        </w:rPr>
        <w:t xml:space="preserve">T</w:t>
      </w:r>
      <w:r>
        <w:t xml:space="preserve"> ≪ </w:t>
      </w:r>
      <w:r>
        <w:rPr>
          <w:i/>
          <w:iCs/>
        </w:rPr>
        <w:t xml:space="preserve">K</w:t>
      </w:r>
      <w:r>
        <w:rPr>
          <w:vertAlign w:val="subscript"/>
        </w:rPr>
        <w:t xml:space="preserve">D</w:t>
      </w:r>
      <w:r>
        <w:t xml:space="preserve">; outside this regime it systematically overestimates </w:t>
      </w:r>
      <w:r>
        <w:rPr>
          <w:i/>
          <w:iCs/>
        </w:rPr>
        <w:t xml:space="preserve">K</w:t>
      </w:r>
      <w:r>
        <w:rPr>
          <w:vertAlign w:val="subscript"/>
        </w:rPr>
        <w:t xml:space="preserve">D</w:t>
      </w:r>
      <w:r>
        <w:t xml:space="preserve"> because part of the protein added to the well is depleted by ligand binding (the so-called titration regime; Jarmoskaite et al., 2020).</w:t>
      </w:r>
    </w:p>
    <w:p>
      <w:pPr>
        <w:spacing w:after="120" w:line="300"/>
        <w:jc w:val="both"/>
      </w:pPr>
      <w:r>
        <w:rPr>
          <w:i/>
          <w:iCs/>
        </w:rPr>
        <w:t xml:space="preserve">(ii) Quadratic (default)</w:t>
      </w:r>
      <w:r>
        <w:t xml:space="preserve">. The exact closed-form solution that explicitly accounts for ligand depletion (Roehrl et al., 2004; Jarmoskaite et al., 2020):</w:t>
      </w:r>
    </w:p>
    <w:p>
      <w:pPr>
        <w:spacing w:after="100" w:before="100"/>
        <w:jc w:val="center"/>
      </w:pPr>
      <w:r>
        <w:rPr>
          <w:i/>
          <w:iCs/>
        </w:rPr>
        <w:t xml:space="preserve">F</w:t>
      </w:r>
      <w:r>
        <w:rPr>
          <w:vertAlign w:val="subscript"/>
        </w:rPr>
        <w:t xml:space="preserve">SB</w:t>
      </w:r>
      <w:r>
        <w:t xml:space="preserve"> = { </w:t>
      </w:r>
      <w:r>
        <w:rPr>
          <w:i/>
          <w:iCs/>
        </w:rPr>
        <w:t xml:space="preserve">K</w:t>
      </w:r>
      <w:r>
        <w:rPr>
          <w:vertAlign w:val="subscript"/>
        </w:rPr>
        <w:t xml:space="preserve">D</w:t>
      </w:r>
      <w:r>
        <w:t xml:space="preserve"> + [L]</w:t>
      </w:r>
      <w:r>
        <w:rPr>
          <w:vertAlign w:val="subscript"/>
        </w:rPr>
        <w:t xml:space="preserve">T</w:t>
      </w:r>
      <w:r>
        <w:t xml:space="preserve"> + [</w:t>
      </w:r>
      <w:r>
        <w:rPr>
          <w:i/>
          <w:iCs/>
        </w:rPr>
        <w:t xml:space="preserve">P</w:t>
      </w:r>
      <w:r>
        <w:t xml:space="preserve">]</w:t>
      </w:r>
      <w:r>
        <w:rPr>
          <w:vertAlign w:val="subscript"/>
        </w:rPr>
        <w:t xml:space="preserve">T</w:t>
      </w:r>
      <w:r>
        <w:t xml:space="preserve"> − √[(</w:t>
      </w:r>
      <w:r>
        <w:rPr>
          <w:i/>
          <w:iCs/>
        </w:rPr>
        <w:t xml:space="preserve">K</w:t>
      </w:r>
      <w:r>
        <w:rPr>
          <w:vertAlign w:val="subscript"/>
        </w:rPr>
        <w:t xml:space="preserve">D</w:t>
      </w:r>
      <w:r>
        <w:t xml:space="preserve"> + [L]</w:t>
      </w:r>
      <w:r>
        <w:rPr>
          <w:vertAlign w:val="subscript"/>
        </w:rPr>
        <w:t xml:space="preserve">T</w:t>
      </w:r>
      <w:r>
        <w:t xml:space="preserve"> + [</w:t>
      </w:r>
      <w:r>
        <w:rPr>
          <w:i/>
          <w:iCs/>
        </w:rPr>
        <w:t xml:space="preserve">P</w:t>
      </w:r>
      <w:r>
        <w:t xml:space="preserve">]</w:t>
      </w:r>
      <w:r>
        <w:rPr>
          <w:vertAlign w:val="subscript"/>
        </w:rPr>
        <w:t xml:space="preserve">T</w:t>
      </w:r>
      <w:r>
        <w:t xml:space="preserve">)</w:t>
      </w:r>
      <w:r>
        <w:rPr>
          <w:vertAlign w:val="superscript"/>
        </w:rPr>
        <w:t xml:space="preserve">2</w:t>
      </w:r>
      <w:r>
        <w:t xml:space="preserve"> − 4 [L]</w:t>
      </w:r>
      <w:r>
        <w:rPr>
          <w:vertAlign w:val="subscript"/>
        </w:rPr>
        <w:t xml:space="preserve">T</w:t>
      </w:r>
      <w:r>
        <w:t xml:space="preserve"> [</w:t>
      </w:r>
      <w:r>
        <w:rPr>
          <w:i/>
          <w:iCs/>
        </w:rPr>
        <w:t xml:space="preserve">P</w:t>
      </w:r>
      <w:r>
        <w:t xml:space="preserve">]</w:t>
      </w:r>
      <w:r>
        <w:rPr>
          <w:vertAlign w:val="subscript"/>
        </w:rPr>
        <w:t xml:space="preserve">T</w:t>
      </w:r>
      <w:r>
        <w:t xml:space="preserve">] } / (2 [L]</w:t>
      </w:r>
      <w:r>
        <w:rPr>
          <w:vertAlign w:val="subscript"/>
        </w:rPr>
        <w:t xml:space="preserve">T</w:t>
      </w:r>
      <w:r>
        <w:t xml:space="preserve">)</w:t>
      </w:r>
      <w:r>
        <w:t xml:space="preserve">		(5)</w:t>
      </w:r>
    </w:p>
    <w:p>
      <w:pPr>
        <w:spacing w:after="120" w:line="300"/>
        <w:jc w:val="both"/>
      </w:pPr>
      <w:r>
        <w:t xml:space="preserve">This is the recommended default and removes the need to verify the binding regime </w:t>
      </w:r>
      <w:r>
        <w:rPr>
          <w:i/>
          <w:iCs/>
        </w:rPr>
        <w:t xml:space="preserve">a priori</w:t>
      </w:r>
      <w:r>
        <w:t xml:space="preserve">.</w:t>
      </w:r>
    </w:p>
    <w:p>
      <w:pPr>
        <w:spacing w:after="120" w:line="300"/>
        <w:jc w:val="both"/>
      </w:pPr>
      <w:r>
        <w:rPr>
          <w:i/>
          <w:iCs/>
        </w:rPr>
        <w:t xml:space="preserve">(iii) Hill</w:t>
      </w:r>
      <w:r>
        <w:t xml:space="preserve">. A phenomenological extension that captures cooperativity:</w:t>
      </w:r>
    </w:p>
    <w:p>
      <w:pPr>
        <w:spacing w:after="100" w:before="100"/>
        <w:jc w:val="center"/>
      </w:pPr>
      <w:r>
        <w:rPr>
          <w:i/>
          <w:iCs/>
        </w:rPr>
        <w:t xml:space="preserve">F</w:t>
      </w:r>
      <w:r>
        <w:rPr>
          <w:vertAlign w:val="subscript"/>
        </w:rPr>
        <w:t xml:space="preserve">SB</w:t>
      </w:r>
      <w:r>
        <w:t xml:space="preserve"> = [</w:t>
      </w:r>
      <w:r>
        <w:rPr>
          <w:i/>
          <w:iCs/>
        </w:rPr>
        <w:t xml:space="preserve">P</w:t>
      </w:r>
      <w:r>
        <w:t xml:space="preserve">]</w:t>
      </w:r>
      <w:r>
        <w:rPr>
          <w:vertAlign w:val="subscript"/>
        </w:rPr>
        <w:t xml:space="preserve">T</w:t>
      </w:r>
      <w:r>
        <w:rPr>
          <w:vertAlign w:val="superscript"/>
        </w:rPr>
        <w:t xml:space="preserve">nH</w:t>
      </w:r>
      <w:r>
        <w:t xml:space="preserve"> / (</w:t>
      </w:r>
      <w:r>
        <w:rPr>
          <w:i/>
          <w:iCs/>
        </w:rPr>
        <w:t xml:space="preserve">K</w:t>
      </w:r>
      <w:r>
        <w:rPr>
          <w:vertAlign w:val="subscript"/>
        </w:rPr>
        <w:t xml:space="preserve">D</w:t>
      </w:r>
      <w:r>
        <w:rPr>
          <w:vertAlign w:val="superscript"/>
        </w:rPr>
        <w:t xml:space="preserve">nH</w:t>
      </w:r>
      <w:r>
        <w:t xml:space="preserve"> + [</w:t>
      </w:r>
      <w:r>
        <w:rPr>
          <w:i/>
          <w:iCs/>
        </w:rPr>
        <w:t xml:space="preserve">P</w:t>
      </w:r>
      <w:r>
        <w:t xml:space="preserve">]</w:t>
      </w:r>
      <w:r>
        <w:rPr>
          <w:vertAlign w:val="subscript"/>
        </w:rPr>
        <w:t xml:space="preserve">T</w:t>
      </w:r>
      <w:r>
        <w:rPr>
          <w:vertAlign w:val="superscript"/>
        </w:rPr>
        <w:t xml:space="preserve">nH</w:t>
      </w:r>
      <w:r>
        <w:t xml:space="preserve">)</w:t>
      </w:r>
      <w:r>
        <w:t xml:space="preserve">		(6)</w:t>
      </w:r>
    </w:p>
    <w:p>
      <w:pPr>
        <w:spacing w:after="120" w:line="300"/>
        <w:jc w:val="both"/>
      </w:pPr>
      <w:r>
        <w:t xml:space="preserve">where </w:t>
      </w:r>
      <w:r>
        <w:rPr>
          <w:i/>
          <w:iCs/>
        </w:rPr>
        <w:t xml:space="preserve">n</w:t>
      </w:r>
      <w:r>
        <w:rPr>
          <w:vertAlign w:val="subscript"/>
        </w:rPr>
        <w:t xml:space="preserve">H</w:t>
      </w:r>
      <w:r>
        <w:t xml:space="preserve"> is the Hill coefficient. The Hill model assumes [L]</w:t>
      </w:r>
      <w:r>
        <w:rPr>
          <w:vertAlign w:val="subscript"/>
        </w:rPr>
        <w:t xml:space="preserve">T</w:t>
      </w:r>
      <w:r>
        <w:t xml:space="preserve"> ≪ </w:t>
      </w:r>
      <w:r>
        <w:rPr>
          <w:i/>
          <w:iCs/>
        </w:rPr>
        <w:t xml:space="preserve">K</w:t>
      </w:r>
      <w:r>
        <w:rPr>
          <w:vertAlign w:val="subscript"/>
        </w:rPr>
        <w:t xml:space="preserve">D</w:t>
      </w:r>
      <w:r>
        <w:t xml:space="preserve"> and is provided as a diagnostic for non-hyperbolic binding behaviour rather than as a mechanistic model. For each fit, </w:t>
      </w:r>
      <w:r>
        <w:rPr>
          <w:i/>
          <w:iCs/>
        </w:rPr>
        <w:t xml:space="preserve">A</w:t>
      </w:r>
      <w:r>
        <w:rPr>
          <w:vertAlign w:val="subscript"/>
        </w:rPr>
        <w:t xml:space="preserve">free</w:t>
      </w:r>
      <w:r>
        <w:t xml:space="preserve"> and </w:t>
      </w:r>
      <w:r>
        <w:rPr>
          <w:i/>
          <w:iCs/>
        </w:rPr>
        <w:t xml:space="preserve">Q</w:t>
      </w:r>
      <w:r>
        <w:t xml:space="preserve"> are fixed to their experimentally determined values by default but can be released by the user; </w:t>
      </w:r>
      <w:r>
        <w:rPr>
          <w:i/>
          <w:iCs/>
        </w:rPr>
        <w:t xml:space="preserve">K</w:t>
      </w:r>
      <w:r>
        <w:rPr>
          <w:vertAlign w:val="subscript"/>
        </w:rPr>
        <w:t xml:space="preserve">D</w:t>
      </w:r>
      <w:r>
        <w:t xml:space="preserve"> and </w:t>
      </w:r>
      <w:r>
        <w:rPr>
          <w:i/>
          <w:iCs/>
        </w:rPr>
        <w:t xml:space="preserve">A</w:t>
      </w:r>
      <w:r>
        <w:rPr>
          <w:vertAlign w:val="subscript"/>
        </w:rPr>
        <w:t xml:space="preserve">bound</w:t>
      </w:r>
      <w:r>
        <w:t xml:space="preserve"> are always free parameters. Confidence intervals are reported as standard errors derived from the covariance matrix at the best-fit point.</w:t>
      </w:r>
    </w:p>
    <w:p>
      <w:pPr>
        <w:pStyle w:val="Heading2"/>
        <w:spacing w:after="100" w:before="200"/>
      </w:pPr>
      <w:r>
        <w:rPr>
          <w:b/>
          <w:bCs/>
          <w:sz w:val="24"/>
          <w:szCs w:val="24"/>
        </w:rPr>
        <w:t xml:space="preserve">Quality control</w:t>
      </w:r>
    </w:p>
    <w:p>
      <w:pPr>
        <w:spacing w:after="120" w:line="300"/>
        <w:jc w:val="both"/>
      </w:pPr>
      <w:r>
        <w:t xml:space="preserve">For each experimental condition the pipeline reports </w:t>
      </w:r>
      <w:r>
        <w:rPr>
          <w:i/>
          <w:iCs/>
        </w:rPr>
        <w:t xml:space="preserve">G</w:t>
      </w:r>
      <w:r>
        <w:t xml:space="preserve"> ± SE, </w:t>
      </w:r>
      <w:r>
        <w:rPr>
          <w:i/>
          <w:iCs/>
        </w:rPr>
        <w:t xml:space="preserve">Q</w:t>
      </w:r>
      <w:r>
        <w:t xml:space="preserve">, </w:t>
      </w:r>
      <w:r>
        <w:rPr>
          <w:i/>
          <w:iCs/>
        </w:rPr>
        <w:t xml:space="preserve">A</w:t>
      </w:r>
      <w:r>
        <w:rPr>
          <w:vertAlign w:val="subscript"/>
        </w:rPr>
        <w:t xml:space="preserve">free</w:t>
      </w:r>
      <w:r>
        <w:t xml:space="preserve"> ± SE, the mean blank intensities, and the number of titration points and replicates. User-defined thresholds flag deviations of </w:t>
      </w:r>
      <w:r>
        <w:rPr>
          <w:i/>
          <w:iCs/>
        </w:rPr>
        <w:t xml:space="preserve">G</w:t>
      </w:r>
      <w:r>
        <w:t xml:space="preserve"> and </w:t>
      </w:r>
      <w:r>
        <w:rPr>
          <w:i/>
          <w:iCs/>
        </w:rPr>
        <w:t xml:space="preserve">Q</w:t>
      </w:r>
      <w:r>
        <w:t xml:space="preserve"> from unity (defaults: |</w:t>
      </w:r>
      <w:r>
        <w:rPr>
          <w:i/>
          <w:iCs/>
        </w:rPr>
        <w:t xml:space="preserve">G</w:t>
      </w:r>
      <w:r>
        <w:t xml:space="preserve"> − 1| and |</w:t>
      </w:r>
      <w:r>
        <w:rPr>
          <w:i/>
          <w:iCs/>
        </w:rPr>
        <w:t xml:space="preserve">Q</w:t>
      </w:r>
      <w:r>
        <w:t xml:space="preserve"> − 1| ≤ 0.3). Assay quality for screening applications is summarized by the </w:t>
      </w:r>
      <w:r>
        <w:rPr>
          <w:i/>
          <w:iCs/>
        </w:rPr>
        <w:t xml:space="preserve">Z</w:t>
      </w:r>
      <w:r>
        <w:rPr>
          <w:vertAlign w:val="superscript"/>
        </w:rPr>
        <w:t xml:space="preserve">′</w:t>
      </w:r>
      <w:r>
        <w:t xml:space="preserve">-factor (Zhang et al., 1999):</w:t>
      </w:r>
    </w:p>
    <w:p>
      <w:pPr>
        <w:spacing w:after="100" w:before="100"/>
        <w:jc w:val="center"/>
      </w:pPr>
      <w:r>
        <w:rPr>
          <w:i/>
          <w:iCs/>
        </w:rPr>
        <w:t xml:space="preserve">Z</w:t>
      </w:r>
      <w:r>
        <w:rPr>
          <w:vertAlign w:val="superscript"/>
        </w:rPr>
        <w:t xml:space="preserve">′</w:t>
      </w:r>
      <w:r>
        <w:t xml:space="preserve"> = 1 − [3(</w:t>
      </w:r>
      <w:r>
        <w:rPr>
          <w:i/>
          <w:iCs/>
        </w:rPr>
        <w:t xml:space="preserve">σ</w:t>
      </w:r>
      <w:r>
        <w:rPr>
          <w:vertAlign w:val="subscript"/>
        </w:rPr>
        <w:t xml:space="preserve">pos</w:t>
      </w:r>
      <w:r>
        <w:t xml:space="preserve"> + </w:t>
      </w:r>
      <w:r>
        <w:rPr>
          <w:i/>
          <w:iCs/>
        </w:rPr>
        <w:t xml:space="preserve">σ</w:t>
      </w:r>
      <w:r>
        <w:rPr>
          <w:vertAlign w:val="subscript"/>
        </w:rPr>
        <w:t xml:space="preserve">neg</w:t>
      </w:r>
      <w:r>
        <w:t xml:space="preserve">)] / |</w:t>
      </w:r>
      <w:r>
        <w:rPr>
          <w:i/>
          <w:iCs/>
        </w:rPr>
        <w:t xml:space="preserve">μ</w:t>
      </w:r>
      <w:r>
        <w:rPr>
          <w:vertAlign w:val="subscript"/>
        </w:rPr>
        <w:t xml:space="preserve">pos</w:t>
      </w:r>
      <w:r>
        <w:t xml:space="preserve"> − </w:t>
      </w:r>
      <w:r>
        <w:rPr>
          <w:i/>
          <w:iCs/>
        </w:rPr>
        <w:t xml:space="preserve">μ</w:t>
      </w:r>
      <w:r>
        <w:rPr>
          <w:vertAlign w:val="subscript"/>
        </w:rPr>
        <w:t xml:space="preserve">neg</w:t>
      </w:r>
      <w:r>
        <w:t xml:space="preserve">|</w:t>
      </w:r>
      <w:r>
        <w:t xml:space="preserve">		(7)</w:t>
      </w:r>
    </w:p>
    <w:p>
      <w:pPr>
        <w:spacing w:after="120" w:line="300"/>
        <w:jc w:val="both"/>
      </w:pPr>
      <w:r>
        <w:t xml:space="preserve">with the positive-control mean and standard deviation taken from titration wells at the highest protein concentration (saturated complex, high anisotropy) and the negative-control statistics from the substrate-only wells (free probe, low anisotropy). </w:t>
      </w:r>
      <w:r>
        <w:rPr>
          <w:i/>
          <w:iCs/>
        </w:rPr>
        <w:t xml:space="preserve">Z</w:t>
      </w:r>
      <w:r>
        <w:rPr>
          <w:vertAlign w:val="superscript"/>
        </w:rPr>
        <w:t xml:space="preserve">′</w:t>
      </w:r>
      <w:r>
        <w:t xml:space="preserve"> &gt; 0.5 indicates an excellent assay, 0 &lt; </w:t>
      </w:r>
      <w:r>
        <w:rPr>
          <w:i/>
          <w:iCs/>
        </w:rPr>
        <w:t xml:space="preserve">Z</w:t>
      </w:r>
      <w:r>
        <w:rPr>
          <w:vertAlign w:val="superscript"/>
        </w:rPr>
        <w:t xml:space="preserve">′</w:t>
      </w:r>
      <w:r>
        <w:t xml:space="preserve"> &lt; 0.5 a marginal but usable assay, and </w:t>
      </w:r>
      <w:r>
        <w:rPr>
          <w:i/>
          <w:iCs/>
        </w:rPr>
        <w:t xml:space="preserve">Z</w:t>
      </w:r>
      <w:r>
        <w:rPr>
          <w:vertAlign w:val="superscript"/>
        </w:rPr>
        <w:t xml:space="preserve">′</w:t>
      </w:r>
      <w:r>
        <w:t xml:space="preserve"> ≤ 0 an unreliable assay (Zhang et al., 1999). A Scatchard transformation (</w:t>
      </w:r>
      <w:r>
        <w:rPr>
          <w:i/>
          <w:iCs/>
        </w:rPr>
        <w:t xml:space="preserve">B</w:t>
      </w:r>
      <w:r>
        <w:t xml:space="preserve"> / [L]</w:t>
      </w:r>
      <w:r>
        <w:rPr>
          <w:vertAlign w:val="subscript"/>
        </w:rPr>
        <w:t xml:space="preserve">T</w:t>
      </w:r>
      <w:r>
        <w:t xml:space="preserve"> vs. </w:t>
      </w:r>
      <w:r>
        <w:rPr>
          <w:i/>
          <w:iCs/>
        </w:rPr>
        <w:t xml:space="preserve">B</w:t>
      </w:r>
      <w:r>
        <w:t xml:space="preserve">, with </w:t>
      </w:r>
      <w:r>
        <w:rPr>
          <w:i/>
          <w:iCs/>
        </w:rPr>
        <w:t xml:space="preserve">B</w:t>
      </w:r>
      <w:r>
        <w:t xml:space="preserve"> the bound fraction estimated from the observed and limiting anisotropies) is generated as a visual diagnostic; pronounced curvature is indicative of multiple binding sites, cooperativity, or non-specific binding (Roehrl et al., 2004).</w:t>
      </w:r>
    </w:p>
    <w:p>
      <w:pPr>
        <w:pStyle w:val="Heading2"/>
        <w:spacing w:after="100" w:before="200"/>
      </w:pPr>
      <w:r>
        <w:rPr>
          <w:b/>
          <w:bCs/>
          <w:sz w:val="24"/>
          <w:szCs w:val="24"/>
        </w:rPr>
        <w:t xml:space="preserve">Limitations</w:t>
      </w:r>
    </w:p>
    <w:p>
      <w:pPr>
        <w:spacing w:after="120" w:line="300"/>
        <w:jc w:val="both"/>
      </w:pPr>
      <w:r>
        <w:t xml:space="preserve">The current implementation is restricted to direct binding and does not fit competitive displacement experiments. Non-specific binding is detected only visually through the Scatchard plot and is not modelled explicitly (cf. Roehrl et al., 2004). Adequate equilibration of the binding reaction at the assay temperature must be established by the experimenter prior to data collection (Jarmoskaite et al., 2020); the pipeline does not infer kinetic competence from a single time point.</w:t>
      </w:r>
    </w:p>
    <w:p>
      <w:pPr>
        <w:pStyle w:val="Heading2"/>
        <w:spacing w:after="100" w:before="200"/>
      </w:pPr>
      <w:r>
        <w:rPr>
          <w:b/>
          <w:bCs/>
          <w:sz w:val="24"/>
          <w:szCs w:val="24"/>
        </w:rPr>
        <w:t xml:space="preserve">Software and key references</w:t>
      </w:r>
    </w:p>
    <w:p>
      <w:pPr>
        <w:spacing w:after="120" w:line="300"/>
        <w:jc w:val="both"/>
      </w:pPr>
      <w:r>
        <w:t xml:space="preserve">The analyzer is implemented in Python 3.11 using </w:t>
      </w:r>
      <w:r>
        <w:rPr>
          <w:i/>
          <w:iCs/>
        </w:rPr>
        <w:t xml:space="preserve">numpy</w:t>
      </w:r>
      <w:r>
        <w:t xml:space="preserve">, </w:t>
      </w:r>
      <w:r>
        <w:rPr>
          <w:i/>
          <w:iCs/>
        </w:rPr>
        <w:t xml:space="preserve">pandas</w:t>
      </w:r>
      <w:r>
        <w:t xml:space="preserve">, </w:t>
      </w:r>
      <w:r>
        <w:rPr>
          <w:i/>
          <w:iCs/>
        </w:rPr>
        <w:t xml:space="preserve">scipy</w:t>
      </w:r>
      <w:r>
        <w:t xml:space="preserve">, </w:t>
      </w:r>
      <w:r>
        <w:rPr>
          <w:i/>
          <w:iCs/>
        </w:rPr>
        <w:t xml:space="preserve">lmfit</w:t>
      </w:r>
      <w:r>
        <w:t xml:space="preserve">, and </w:t>
      </w:r>
      <w:r>
        <w:rPr>
          <w:i/>
          <w:iCs/>
        </w:rPr>
        <w:t xml:space="preserve">matplotlib</w:t>
      </w:r>
      <w:r>
        <w:t xml:space="preserve">, with an </w:t>
      </w:r>
      <w:r>
        <w:rPr>
          <w:i/>
          <w:iCs/>
        </w:rPr>
        <w:t xml:space="preserve">ipywidgets</w:t>
      </w:r>
      <w:r>
        <w:t xml:space="preserve"> interface for interactive use in Jupyter. Source code, example data, and a user guide are available at [repository URL]. Key methodological references: Tranter (2010) and Lakowicz (2006) for FP theory; Jameson and Croney (2003) for FP in protein interaction studies; Jarmoskaite et al. (2020) for binding-regime considerations and equilibration controls; Roehrl et al. (2004) for the analytical framework of FP binding equations and the </w:t>
      </w:r>
      <w:r>
        <w:rPr>
          <w:i/>
          <w:iCs/>
        </w:rPr>
        <w:t xml:space="preserve">Z</w:t>
      </w:r>
      <w:r>
        <w:rPr>
          <w:vertAlign w:val="superscript"/>
        </w:rPr>
        <w:t xml:space="preserve">′</w:t>
      </w:r>
      <w:r>
        <w:t xml:space="preserve">-factor in FP screens; Zhang et al. (1999) for the original </w:t>
      </w:r>
      <w:r>
        <w:rPr>
          <w:i/>
          <w:iCs/>
        </w:rPr>
        <w:t xml:space="preserve">Z</w:t>
      </w:r>
      <w:r>
        <w:rPr>
          <w:vertAlign w:val="superscript"/>
        </w:rPr>
        <w:t xml:space="preserve">′</w:t>
      </w:r>
      <w:r>
        <w:t xml:space="preserve">-factor definition; and Newville et al. (2014) for </w:t>
      </w:r>
      <w:r>
        <w:rPr>
          <w:i/>
          <w:iCs/>
        </w:rPr>
        <w:t xml:space="preserve">lmfit</w:t>
      </w:r>
      <w: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2026-05-07T05:38:45.428Z</dcterms:created>
  <dcterms:modified xsi:type="dcterms:W3CDTF">2026-05-07T05:38:45.428Z</dcterms:modified>
</cp:coreProperties>
</file>

<file path=docProps/custom.xml><?xml version="1.0" encoding="utf-8"?>
<Properties xmlns="http://schemas.openxmlformats.org/officeDocument/2006/custom-properties" xmlns:vt="http://schemas.openxmlformats.org/officeDocument/2006/docPropsVTypes"/>
</file>