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CB04" w14:textId="641235B4" w:rsidR="007A6A1E" w:rsidRPr="007A3A9B" w:rsidRDefault="007A6A1E" w:rsidP="007A6A1E">
      <w:pPr>
        <w:rPr>
          <w:rFonts w:ascii="Arial" w:hAnsi="Arial" w:cs="Arial"/>
          <w:sz w:val="20"/>
          <w:szCs w:val="20"/>
        </w:rPr>
      </w:pPr>
    </w:p>
    <w:p w14:paraId="48F98832" w14:textId="78E85767" w:rsidR="007A6A1E" w:rsidRPr="007A3A9B" w:rsidRDefault="007A18EA" w:rsidP="007A6A1E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SMBCTEX-001 -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Design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="00A80E32">
        <w:rPr>
          <w:rFonts w:ascii="Arial" w:hAnsi="Arial" w:cs="Arial"/>
          <w:sz w:val="20"/>
          <w:szCs w:val="20"/>
        </w:rPr>
        <w:pict w14:anchorId="27EAC207">
          <v:rect id="_x0000_i1025" style="width:0;height:1.5pt" o:hralign="center" o:hrstd="t" o:hr="t" fillcolor="#a0a0a0" stroked="f"/>
        </w:pict>
      </w:r>
    </w:p>
    <w:p w14:paraId="0CB34C22" w14:textId="377A59C7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>:</w:t>
      </w:r>
      <w:r w:rsidRPr="007A3A9B">
        <w:rPr>
          <w:rFonts w:ascii="Arial" w:hAnsi="Arial" w:cs="Arial"/>
          <w:sz w:val="20"/>
          <w:szCs w:val="20"/>
        </w:rPr>
        <w:t xml:space="preserve"> </w:t>
      </w:r>
      <w:r w:rsidR="00821A35" w:rsidRPr="00821A35">
        <w:rPr>
          <w:rFonts w:ascii="Arial" w:hAnsi="Arial" w:cs="Arial"/>
          <w:sz w:val="20"/>
          <w:szCs w:val="20"/>
        </w:rPr>
        <w:t>IX-RD-PS-Infinity-01</w:t>
      </w:r>
      <w:r w:rsidR="00821A35" w:rsidRPr="00821A35">
        <w:rPr>
          <w:rFonts w:ascii="Arial" w:hAnsi="Arial" w:cs="Arial"/>
          <w:sz w:val="20"/>
          <w:szCs w:val="20"/>
        </w:rPr>
        <w:tab/>
        <w:t xml:space="preserve">Migración y modernización infraestructura </w:t>
      </w:r>
      <w:proofErr w:type="spellStart"/>
      <w:r w:rsidR="00821A35" w:rsidRPr="00821A35">
        <w:rPr>
          <w:rFonts w:ascii="Arial" w:hAnsi="Arial" w:cs="Arial"/>
          <w:sz w:val="20"/>
          <w:szCs w:val="20"/>
        </w:rPr>
        <w:t>Infinity</w:t>
      </w:r>
      <w:proofErr w:type="spellEnd"/>
      <w:r w:rsidRPr="007A3A9B">
        <w:rPr>
          <w:rFonts w:ascii="Arial" w:hAnsi="Arial" w:cs="Arial"/>
          <w:sz w:val="20"/>
          <w:szCs w:val="20"/>
        </w:rPr>
        <w:br/>
      </w:r>
      <w:r w:rsidRPr="007A3A9B">
        <w:rPr>
          <w:rFonts w:ascii="Arial" w:hAnsi="Arial" w:cs="Arial"/>
          <w:b/>
          <w:bCs/>
          <w:sz w:val="20"/>
          <w:szCs w:val="20"/>
        </w:rPr>
        <w:t>Client:</w:t>
      </w:r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Infinity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Gifts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Souvenirs, </w:t>
      </w:r>
      <w:proofErr w:type="spellStart"/>
      <w:r w:rsidRPr="007A3A9B">
        <w:rPr>
          <w:rFonts w:ascii="Arial" w:hAnsi="Arial" w:cs="Arial"/>
          <w:sz w:val="20"/>
          <w:szCs w:val="20"/>
        </w:rPr>
        <w:t>Dominican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Republic</w:t>
      </w:r>
      <w:proofErr w:type="spellEnd"/>
      <w:r w:rsidRPr="007A3A9B">
        <w:rPr>
          <w:rFonts w:ascii="Arial" w:hAnsi="Arial" w:cs="Arial"/>
          <w:sz w:val="20"/>
          <w:szCs w:val="20"/>
        </w:rPr>
        <w:br/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Prepared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>:</w:t>
      </w:r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6086">
        <w:rPr>
          <w:rFonts w:ascii="Arial" w:hAnsi="Arial" w:cs="Arial"/>
          <w:sz w:val="20"/>
          <w:szCs w:val="20"/>
        </w:rPr>
        <w:t>Intcomex</w:t>
      </w:r>
      <w:proofErr w:type="spellEnd"/>
      <w:r w:rsidR="003A6086">
        <w:rPr>
          <w:rFonts w:ascii="Arial" w:hAnsi="Arial" w:cs="Arial"/>
          <w:sz w:val="20"/>
          <w:szCs w:val="20"/>
        </w:rPr>
        <w:t xml:space="preserve"> Cloud</w:t>
      </w:r>
      <w:r w:rsidRPr="007A3A9B">
        <w:rPr>
          <w:rFonts w:ascii="Arial" w:hAnsi="Arial" w:cs="Arial"/>
          <w:sz w:val="20"/>
          <w:szCs w:val="20"/>
        </w:rPr>
        <w:br/>
      </w:r>
      <w:r w:rsidRPr="007A3A9B">
        <w:rPr>
          <w:rFonts w:ascii="Arial" w:hAnsi="Arial" w:cs="Arial"/>
          <w:b/>
          <w:bCs/>
          <w:sz w:val="20"/>
          <w:szCs w:val="20"/>
        </w:rPr>
        <w:t>Date:</w:t>
      </w:r>
      <w:r w:rsidRPr="007A3A9B">
        <w:rPr>
          <w:rFonts w:ascii="Arial" w:hAnsi="Arial" w:cs="Arial"/>
          <w:sz w:val="20"/>
          <w:szCs w:val="20"/>
        </w:rPr>
        <w:t xml:space="preserve"> </w:t>
      </w:r>
      <w:r w:rsidR="003A6086">
        <w:rPr>
          <w:rFonts w:ascii="Arial" w:hAnsi="Arial" w:cs="Arial"/>
          <w:sz w:val="20"/>
          <w:szCs w:val="20"/>
        </w:rPr>
        <w:t>June, 2025</w:t>
      </w:r>
    </w:p>
    <w:p w14:paraId="557C6009" w14:textId="3667BED0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1F7D0F24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1. Executive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Summary</w:t>
      </w:r>
      <w:proofErr w:type="spellEnd"/>
    </w:p>
    <w:p w14:paraId="1BBA91B3" w14:textId="77777777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Infinity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Gifts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Souvenirs </w:t>
      </w:r>
      <w:proofErr w:type="spellStart"/>
      <w:r w:rsidRPr="007A3A9B">
        <w:rPr>
          <w:rFonts w:ascii="Arial" w:hAnsi="Arial" w:cs="Arial"/>
          <w:sz w:val="20"/>
          <w:szCs w:val="20"/>
        </w:rPr>
        <w:t>sought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to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modernize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its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7A3A9B">
        <w:rPr>
          <w:rFonts w:ascii="Arial" w:hAnsi="Arial" w:cs="Arial"/>
          <w:sz w:val="20"/>
          <w:szCs w:val="20"/>
        </w:rPr>
        <w:t>infrastructure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to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remain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competitive in </w:t>
      </w:r>
      <w:proofErr w:type="spellStart"/>
      <w:r w:rsidRPr="007A3A9B">
        <w:rPr>
          <w:rFonts w:ascii="Arial" w:hAnsi="Arial" w:cs="Arial"/>
          <w:sz w:val="20"/>
          <w:szCs w:val="20"/>
        </w:rPr>
        <w:t>the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evolving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retail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A3A9B">
        <w:rPr>
          <w:rFonts w:ascii="Arial" w:hAnsi="Arial" w:cs="Arial"/>
          <w:sz w:val="20"/>
          <w:szCs w:val="20"/>
        </w:rPr>
        <w:t>tourism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market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A3A9B">
        <w:rPr>
          <w:rFonts w:ascii="Arial" w:hAnsi="Arial" w:cs="Arial"/>
          <w:sz w:val="20"/>
          <w:szCs w:val="20"/>
        </w:rPr>
        <w:t>This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project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involved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migrating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core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systems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to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Amazon Web </w:t>
      </w:r>
      <w:proofErr w:type="spellStart"/>
      <w:r w:rsidRPr="007A3A9B">
        <w:rPr>
          <w:rFonts w:ascii="Arial" w:hAnsi="Arial" w:cs="Arial"/>
          <w:sz w:val="20"/>
          <w:szCs w:val="20"/>
        </w:rPr>
        <w:t>Services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(AWS), </w:t>
      </w:r>
      <w:proofErr w:type="spellStart"/>
      <w:r w:rsidRPr="007A3A9B">
        <w:rPr>
          <w:rFonts w:ascii="Arial" w:hAnsi="Arial" w:cs="Arial"/>
          <w:sz w:val="20"/>
          <w:szCs w:val="20"/>
        </w:rPr>
        <w:t>leveraging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scalable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3A9B">
        <w:rPr>
          <w:rFonts w:ascii="Arial" w:hAnsi="Arial" w:cs="Arial"/>
          <w:sz w:val="20"/>
          <w:szCs w:val="20"/>
        </w:rPr>
        <w:t>secure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3A9B">
        <w:rPr>
          <w:rFonts w:ascii="Arial" w:hAnsi="Arial" w:cs="Arial"/>
          <w:sz w:val="20"/>
          <w:szCs w:val="20"/>
        </w:rPr>
        <w:t>cost-optimized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cloud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services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to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enhance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performance, </w:t>
      </w:r>
      <w:proofErr w:type="spellStart"/>
      <w:r w:rsidRPr="007A3A9B">
        <w:rPr>
          <w:rFonts w:ascii="Arial" w:hAnsi="Arial" w:cs="Arial"/>
          <w:sz w:val="20"/>
          <w:szCs w:val="20"/>
        </w:rPr>
        <w:t>reliability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3A9B">
        <w:rPr>
          <w:rFonts w:ascii="Arial" w:hAnsi="Arial" w:cs="Arial"/>
          <w:sz w:val="20"/>
          <w:szCs w:val="20"/>
        </w:rPr>
        <w:t>operational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excellence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5F744DA7" w14:textId="4510009D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0BD3E067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2.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Objectives</w:t>
      </w:r>
      <w:proofErr w:type="spellEnd"/>
    </w:p>
    <w:p w14:paraId="5A549600" w14:textId="77777777" w:rsidR="007A3A9B" w:rsidRPr="007A3A9B" w:rsidRDefault="007A3A9B" w:rsidP="007A3A9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Migrate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key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workloads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(SQL Server, IIS, Active </w:t>
      </w:r>
      <w:proofErr w:type="spellStart"/>
      <w:r w:rsidRPr="007A3A9B">
        <w:rPr>
          <w:rFonts w:ascii="Arial" w:hAnsi="Arial" w:cs="Arial"/>
          <w:sz w:val="20"/>
          <w:szCs w:val="20"/>
        </w:rPr>
        <w:t>Directory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7A3A9B">
        <w:rPr>
          <w:rFonts w:ascii="Arial" w:hAnsi="Arial" w:cs="Arial"/>
          <w:sz w:val="20"/>
          <w:szCs w:val="20"/>
        </w:rPr>
        <w:t>to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AWS.</w:t>
      </w:r>
    </w:p>
    <w:p w14:paraId="7A0B5BE2" w14:textId="77777777" w:rsidR="007A3A9B" w:rsidRPr="007A3A9B" w:rsidRDefault="007A3A9B" w:rsidP="007A3A9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Ensure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high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availability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data </w:t>
      </w:r>
      <w:proofErr w:type="spellStart"/>
      <w:r w:rsidRPr="007A3A9B">
        <w:rPr>
          <w:rFonts w:ascii="Arial" w:hAnsi="Arial" w:cs="Arial"/>
          <w:sz w:val="20"/>
          <w:szCs w:val="20"/>
        </w:rPr>
        <w:t>security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3A9B">
        <w:rPr>
          <w:rFonts w:ascii="Arial" w:hAnsi="Arial" w:cs="Arial"/>
          <w:sz w:val="20"/>
          <w:szCs w:val="20"/>
        </w:rPr>
        <w:t>compliance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20D0DDCC" w14:textId="77777777" w:rsidR="007A3A9B" w:rsidRPr="007A3A9B" w:rsidRDefault="007A3A9B" w:rsidP="007A3A9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Optimize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costs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through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right-sizing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A3A9B">
        <w:rPr>
          <w:rFonts w:ascii="Arial" w:hAnsi="Arial" w:cs="Arial"/>
          <w:sz w:val="20"/>
          <w:szCs w:val="20"/>
        </w:rPr>
        <w:t>automation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07D995C8" w14:textId="77777777" w:rsidR="007A3A9B" w:rsidRPr="007A3A9B" w:rsidRDefault="007A3A9B" w:rsidP="007A3A9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Implement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Infrastructure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7A3A9B">
        <w:rPr>
          <w:rFonts w:ascii="Arial" w:hAnsi="Arial" w:cs="Arial"/>
          <w:sz w:val="20"/>
          <w:szCs w:val="20"/>
        </w:rPr>
        <w:t>Code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3A9B">
        <w:rPr>
          <w:rFonts w:ascii="Arial" w:hAnsi="Arial" w:cs="Arial"/>
          <w:sz w:val="20"/>
          <w:szCs w:val="20"/>
        </w:rPr>
        <w:t>IaC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7A3A9B">
        <w:rPr>
          <w:rFonts w:ascii="Arial" w:hAnsi="Arial" w:cs="Arial"/>
          <w:sz w:val="20"/>
          <w:szCs w:val="20"/>
        </w:rPr>
        <w:t>using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Terraform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4153D5C0" w14:textId="77777777" w:rsidR="007A3A9B" w:rsidRPr="007A3A9B" w:rsidRDefault="007A3A9B" w:rsidP="007A3A9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Establish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monitoring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3A9B">
        <w:rPr>
          <w:rFonts w:ascii="Arial" w:hAnsi="Arial" w:cs="Arial"/>
          <w:sz w:val="20"/>
          <w:szCs w:val="20"/>
        </w:rPr>
        <w:t>backup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3A9B">
        <w:rPr>
          <w:rFonts w:ascii="Arial" w:hAnsi="Arial" w:cs="Arial"/>
          <w:sz w:val="20"/>
          <w:szCs w:val="20"/>
        </w:rPr>
        <w:t>disaster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recovery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procedures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483BF427" w14:textId="6BD2F9B6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3F1247FF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3.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3B60D495" w14:textId="77777777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Components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>:</w:t>
      </w:r>
    </w:p>
    <w:p w14:paraId="0CC834E5" w14:textId="77777777" w:rsidR="007A3A9B" w:rsidRPr="007A3A9B" w:rsidRDefault="007A3A9B" w:rsidP="007A3A9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>Compute</w:t>
      </w:r>
      <w:r w:rsidRPr="007A3A9B">
        <w:rPr>
          <w:rFonts w:ascii="Arial" w:hAnsi="Arial" w:cs="Arial"/>
          <w:sz w:val="20"/>
          <w:szCs w:val="20"/>
        </w:rPr>
        <w:t xml:space="preserve">: EC2 </w:t>
      </w:r>
      <w:proofErr w:type="spellStart"/>
      <w:r w:rsidRPr="007A3A9B">
        <w:rPr>
          <w:rFonts w:ascii="Arial" w:hAnsi="Arial" w:cs="Arial"/>
          <w:sz w:val="20"/>
          <w:szCs w:val="20"/>
        </w:rPr>
        <w:t>instances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for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IIS, Active </w:t>
      </w:r>
      <w:proofErr w:type="spellStart"/>
      <w:r w:rsidRPr="007A3A9B">
        <w:rPr>
          <w:rFonts w:ascii="Arial" w:hAnsi="Arial" w:cs="Arial"/>
          <w:sz w:val="20"/>
          <w:szCs w:val="20"/>
        </w:rPr>
        <w:t>Directory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3A9B">
        <w:rPr>
          <w:rFonts w:ascii="Arial" w:hAnsi="Arial" w:cs="Arial"/>
          <w:sz w:val="20"/>
          <w:szCs w:val="20"/>
        </w:rPr>
        <w:t>custom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services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77A1E3B8" w14:textId="77777777" w:rsidR="007A3A9B" w:rsidRPr="007A3A9B" w:rsidRDefault="007A3A9B" w:rsidP="007A3A9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Database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Amazon RDS </w:t>
      </w:r>
      <w:proofErr w:type="spellStart"/>
      <w:r w:rsidRPr="007A3A9B">
        <w:rPr>
          <w:rFonts w:ascii="Arial" w:hAnsi="Arial" w:cs="Arial"/>
          <w:sz w:val="20"/>
          <w:szCs w:val="20"/>
        </w:rPr>
        <w:t>for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Microsoft SQL Server.</w:t>
      </w:r>
    </w:p>
    <w:p w14:paraId="18AA0255" w14:textId="77777777" w:rsidR="007A3A9B" w:rsidRPr="007A3A9B" w:rsidRDefault="007A3A9B" w:rsidP="007A3A9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>Storage</w:t>
      </w:r>
      <w:r w:rsidRPr="007A3A9B">
        <w:rPr>
          <w:rFonts w:ascii="Arial" w:hAnsi="Arial" w:cs="Arial"/>
          <w:sz w:val="20"/>
          <w:szCs w:val="20"/>
        </w:rPr>
        <w:t xml:space="preserve">: Amazon </w:t>
      </w:r>
      <w:proofErr w:type="spellStart"/>
      <w:r w:rsidRPr="007A3A9B">
        <w:rPr>
          <w:rFonts w:ascii="Arial" w:hAnsi="Arial" w:cs="Arial"/>
          <w:sz w:val="20"/>
          <w:szCs w:val="20"/>
        </w:rPr>
        <w:t>Elastic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Block Store (EBS).</w:t>
      </w:r>
    </w:p>
    <w:p w14:paraId="4D282D5A" w14:textId="77777777" w:rsidR="007A3A9B" w:rsidRPr="007A3A9B" w:rsidRDefault="007A3A9B" w:rsidP="007A3A9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AWS </w:t>
      </w:r>
      <w:proofErr w:type="spellStart"/>
      <w:r w:rsidRPr="007A3A9B">
        <w:rPr>
          <w:rFonts w:ascii="Arial" w:hAnsi="Arial" w:cs="Arial"/>
          <w:sz w:val="20"/>
          <w:szCs w:val="20"/>
        </w:rPr>
        <w:t>Backup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for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scheduled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recovery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1960B18F" w14:textId="77777777" w:rsidR="007A3A9B" w:rsidRPr="007A3A9B" w:rsidRDefault="007A3A9B" w:rsidP="007A3A9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>Security</w:t>
      </w:r>
      <w:r w:rsidRPr="007A3A9B">
        <w:rPr>
          <w:rFonts w:ascii="Arial" w:hAnsi="Arial" w:cs="Arial"/>
          <w:sz w:val="20"/>
          <w:szCs w:val="20"/>
        </w:rPr>
        <w:t xml:space="preserve">: IAM, VPC Security </w:t>
      </w:r>
      <w:proofErr w:type="spellStart"/>
      <w:r w:rsidRPr="007A3A9B">
        <w:rPr>
          <w:rFonts w:ascii="Arial" w:hAnsi="Arial" w:cs="Arial"/>
          <w:sz w:val="20"/>
          <w:szCs w:val="20"/>
        </w:rPr>
        <w:t>Groups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MFA, </w:t>
      </w:r>
      <w:proofErr w:type="spellStart"/>
      <w:r w:rsidRPr="007A3A9B">
        <w:rPr>
          <w:rFonts w:ascii="Arial" w:hAnsi="Arial" w:cs="Arial"/>
          <w:sz w:val="20"/>
          <w:szCs w:val="20"/>
        </w:rPr>
        <w:t>Certificate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Manager.</w:t>
      </w:r>
    </w:p>
    <w:p w14:paraId="2D8888F3" w14:textId="77777777" w:rsidR="007A3A9B" w:rsidRPr="007A3A9B" w:rsidRDefault="007A3A9B" w:rsidP="007A3A9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Amazon </w:t>
      </w:r>
      <w:proofErr w:type="spellStart"/>
      <w:r w:rsidRPr="007A3A9B">
        <w:rPr>
          <w:rFonts w:ascii="Arial" w:hAnsi="Arial" w:cs="Arial"/>
          <w:sz w:val="20"/>
          <w:szCs w:val="20"/>
        </w:rPr>
        <w:t>CloudWatch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and AWS </w:t>
      </w:r>
      <w:proofErr w:type="spellStart"/>
      <w:r w:rsidRPr="007A3A9B">
        <w:rPr>
          <w:rFonts w:ascii="Arial" w:hAnsi="Arial" w:cs="Arial"/>
          <w:sz w:val="20"/>
          <w:szCs w:val="20"/>
        </w:rPr>
        <w:t>CloudTrail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69FAAF7C" w14:textId="77777777" w:rsidR="007A3A9B" w:rsidRPr="007A3A9B" w:rsidRDefault="007A3A9B" w:rsidP="007A3A9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IaC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Tools</w:t>
      </w:r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Terraform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with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Git </w:t>
      </w:r>
      <w:proofErr w:type="spellStart"/>
      <w:r w:rsidRPr="007A3A9B">
        <w:rPr>
          <w:rFonts w:ascii="Arial" w:hAnsi="Arial" w:cs="Arial"/>
          <w:sz w:val="20"/>
          <w:szCs w:val="20"/>
        </w:rPr>
        <w:t>integration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and CI/CD pipeline.</w:t>
      </w:r>
    </w:p>
    <w:p w14:paraId="23799778" w14:textId="77777777" w:rsidR="003A6086" w:rsidRDefault="003A6086" w:rsidP="007A3A9B">
      <w:pPr>
        <w:rPr>
          <w:rFonts w:ascii="Arial" w:hAnsi="Arial" w:cs="Arial"/>
          <w:b/>
          <w:bCs/>
          <w:sz w:val="20"/>
          <w:szCs w:val="20"/>
        </w:rPr>
      </w:pPr>
    </w:p>
    <w:p w14:paraId="506009D1" w14:textId="77777777" w:rsidR="003A6086" w:rsidRDefault="003A6086" w:rsidP="007A3A9B">
      <w:pPr>
        <w:rPr>
          <w:rFonts w:ascii="Arial" w:hAnsi="Arial" w:cs="Arial"/>
          <w:b/>
          <w:bCs/>
          <w:sz w:val="20"/>
          <w:szCs w:val="20"/>
        </w:rPr>
      </w:pPr>
    </w:p>
    <w:p w14:paraId="409E4CA5" w14:textId="77777777" w:rsidR="003A6086" w:rsidRDefault="003A6086" w:rsidP="007A3A9B">
      <w:pPr>
        <w:rPr>
          <w:rFonts w:ascii="Arial" w:hAnsi="Arial" w:cs="Arial"/>
          <w:b/>
          <w:bCs/>
          <w:sz w:val="20"/>
          <w:szCs w:val="20"/>
        </w:rPr>
      </w:pPr>
    </w:p>
    <w:p w14:paraId="512B26C0" w14:textId="0F6569F3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lastRenderedPageBreak/>
        <w:t>Architecture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Diagram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>:</w:t>
      </w:r>
    </w:p>
    <w:p w14:paraId="17AE2150" w14:textId="13EF26B8" w:rsidR="007A3A9B" w:rsidRDefault="00E15649" w:rsidP="007A3A9B">
      <w:pPr>
        <w:rPr>
          <w:rFonts w:ascii="Arial" w:hAnsi="Arial" w:cs="Arial"/>
          <w:sz w:val="20"/>
          <w:szCs w:val="20"/>
        </w:rPr>
      </w:pPr>
      <w:r w:rsidRPr="009B092B">
        <w:rPr>
          <w:noProof/>
        </w:rPr>
        <w:drawing>
          <wp:inline distT="0" distB="0" distL="0" distR="0" wp14:anchorId="60422EFF" wp14:editId="47A612CE">
            <wp:extent cx="5612130" cy="2629787"/>
            <wp:effectExtent l="0" t="0" r="7620" b="0"/>
            <wp:docPr id="231805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532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C24" w14:textId="77777777" w:rsidR="003A6086" w:rsidRPr="007A3A9B" w:rsidRDefault="003A6086" w:rsidP="007A3A9B">
      <w:pPr>
        <w:rPr>
          <w:rFonts w:ascii="Arial" w:hAnsi="Arial" w:cs="Arial"/>
          <w:sz w:val="20"/>
          <w:szCs w:val="20"/>
        </w:rPr>
      </w:pPr>
    </w:p>
    <w:p w14:paraId="0E40C0E0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4. Key Technologies and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275"/>
      </w:tblGrid>
      <w:tr w:rsidR="007A3A9B" w:rsidRPr="007A3A9B" w14:paraId="78AB439B" w14:textId="77777777" w:rsidTr="00E15649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6533F770" w14:textId="77777777" w:rsidR="007A3A9B" w:rsidRPr="007A3A9B" w:rsidRDefault="007A3A9B" w:rsidP="007A3A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3230" w:type="dxa"/>
            <w:vAlign w:val="center"/>
            <w:hideMark/>
          </w:tcPr>
          <w:p w14:paraId="15A86805" w14:textId="77777777" w:rsidR="007A3A9B" w:rsidRPr="007A3A9B" w:rsidRDefault="007A3A9B" w:rsidP="007A3A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</w:tr>
      <w:tr w:rsidR="007A3A9B" w:rsidRPr="007A3A9B" w14:paraId="48C2A271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4D8F90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>Amazon EC2</w:t>
            </w:r>
          </w:p>
        </w:tc>
        <w:tc>
          <w:tcPr>
            <w:tcW w:w="3230" w:type="dxa"/>
            <w:vAlign w:val="center"/>
            <w:hideMark/>
          </w:tcPr>
          <w:p w14:paraId="038963B4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 xml:space="preserve">Hosting Active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and IIS</w:t>
            </w:r>
          </w:p>
        </w:tc>
      </w:tr>
      <w:tr w:rsidR="007A3A9B" w:rsidRPr="007A3A9B" w14:paraId="0B4FEB3D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DDEAFC6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>Amazon RDS</w:t>
            </w:r>
          </w:p>
        </w:tc>
        <w:tc>
          <w:tcPr>
            <w:tcW w:w="3230" w:type="dxa"/>
            <w:vAlign w:val="center"/>
            <w:hideMark/>
          </w:tcPr>
          <w:p w14:paraId="130A4042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Managed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SQL Server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databases</w:t>
            </w:r>
            <w:proofErr w:type="spellEnd"/>
          </w:p>
        </w:tc>
      </w:tr>
      <w:tr w:rsidR="007A3A9B" w:rsidRPr="007A3A9B" w14:paraId="5A5DC665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4002CAC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3230" w:type="dxa"/>
            <w:vAlign w:val="center"/>
            <w:hideMark/>
          </w:tcPr>
          <w:p w14:paraId="65BE8E16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management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operations</w:t>
            </w:r>
            <w:proofErr w:type="spellEnd"/>
          </w:p>
        </w:tc>
      </w:tr>
      <w:tr w:rsidR="007A3A9B" w:rsidRPr="007A3A9B" w14:paraId="72577B59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A90F9D1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</w:p>
        </w:tc>
        <w:tc>
          <w:tcPr>
            <w:tcW w:w="3230" w:type="dxa"/>
            <w:vAlign w:val="center"/>
            <w:hideMark/>
          </w:tcPr>
          <w:p w14:paraId="06CC9AB3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Automated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recovery</w:t>
            </w:r>
            <w:proofErr w:type="spellEnd"/>
          </w:p>
        </w:tc>
      </w:tr>
      <w:tr w:rsidR="007A3A9B" w:rsidRPr="007A3A9B" w14:paraId="43AE45D3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123F99F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CloudWatch</w:t>
            </w:r>
            <w:proofErr w:type="spellEnd"/>
          </w:p>
        </w:tc>
        <w:tc>
          <w:tcPr>
            <w:tcW w:w="3230" w:type="dxa"/>
            <w:vAlign w:val="center"/>
            <w:hideMark/>
          </w:tcPr>
          <w:p w14:paraId="7C2C1F00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Resource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monitoring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alerting</w:t>
            </w:r>
            <w:proofErr w:type="spellEnd"/>
          </w:p>
        </w:tc>
      </w:tr>
      <w:tr w:rsidR="007A3A9B" w:rsidRPr="007A3A9B" w14:paraId="70ECF67E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FB98F30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CloudTrail</w:t>
            </w:r>
            <w:proofErr w:type="spellEnd"/>
          </w:p>
        </w:tc>
        <w:tc>
          <w:tcPr>
            <w:tcW w:w="3230" w:type="dxa"/>
            <w:vAlign w:val="center"/>
            <w:hideMark/>
          </w:tcPr>
          <w:p w14:paraId="5CB6EE9D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Logging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and API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activity</w:t>
            </w:r>
            <w:proofErr w:type="spellEnd"/>
          </w:p>
        </w:tc>
      </w:tr>
      <w:tr w:rsidR="007A3A9B" w:rsidRPr="007A3A9B" w14:paraId="1D18A38C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DB92A79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>IAM</w:t>
            </w:r>
          </w:p>
        </w:tc>
        <w:tc>
          <w:tcPr>
            <w:tcW w:w="3230" w:type="dxa"/>
            <w:vAlign w:val="center"/>
            <w:hideMark/>
          </w:tcPr>
          <w:p w14:paraId="539F309C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>Role-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based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access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control</w:t>
            </w:r>
          </w:p>
        </w:tc>
      </w:tr>
      <w:tr w:rsidR="007A3A9B" w:rsidRPr="007A3A9B" w14:paraId="281EC54E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546E14A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Certificate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3230" w:type="dxa"/>
            <w:vAlign w:val="center"/>
            <w:hideMark/>
          </w:tcPr>
          <w:p w14:paraId="1B3DACE6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 xml:space="preserve">SSL/TLS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certificate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provisioning</w:t>
            </w:r>
            <w:proofErr w:type="spellEnd"/>
          </w:p>
        </w:tc>
      </w:tr>
      <w:tr w:rsidR="007A3A9B" w:rsidRPr="007A3A9B" w14:paraId="514B50AC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F83FB55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Terraform</w:t>
            </w:r>
            <w:proofErr w:type="spellEnd"/>
          </w:p>
        </w:tc>
        <w:tc>
          <w:tcPr>
            <w:tcW w:w="3230" w:type="dxa"/>
            <w:vAlign w:val="center"/>
            <w:hideMark/>
          </w:tcPr>
          <w:p w14:paraId="454DB5FC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Infrastructure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</w:p>
        </w:tc>
      </w:tr>
      <w:tr w:rsidR="007A3A9B" w:rsidRPr="007A3A9B" w14:paraId="626F166D" w14:textId="77777777" w:rsidTr="00E15649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162C54D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r w:rsidRPr="007A3A9B">
              <w:rPr>
                <w:rFonts w:ascii="Arial" w:hAnsi="Arial" w:cs="Arial"/>
                <w:sz w:val="20"/>
                <w:szCs w:val="20"/>
              </w:rPr>
              <w:t>Git + CI/CD</w:t>
            </w:r>
          </w:p>
        </w:tc>
        <w:tc>
          <w:tcPr>
            <w:tcW w:w="3230" w:type="dxa"/>
            <w:vAlign w:val="center"/>
            <w:hideMark/>
          </w:tcPr>
          <w:p w14:paraId="55380D9D" w14:textId="77777777" w:rsidR="007A3A9B" w:rsidRPr="007A3A9B" w:rsidRDefault="007A3A9B" w:rsidP="007A3A9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control and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automated</w:t>
            </w:r>
            <w:proofErr w:type="spellEnd"/>
            <w:r w:rsidRPr="007A3A9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3A9B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</w:p>
        </w:tc>
      </w:tr>
    </w:tbl>
    <w:p w14:paraId="5ABC3DFF" w14:textId="49F381F9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02A336C8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>5. Security and Access Management</w:t>
      </w:r>
    </w:p>
    <w:p w14:paraId="4A7953A6" w14:textId="77777777" w:rsidR="007A3A9B" w:rsidRPr="007A3A9B" w:rsidRDefault="007A3A9B" w:rsidP="007A3A9B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Protection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MFA </w:t>
      </w:r>
      <w:proofErr w:type="spellStart"/>
      <w:r w:rsidRPr="007A3A9B">
        <w:rPr>
          <w:rFonts w:ascii="Arial" w:hAnsi="Arial" w:cs="Arial"/>
          <w:sz w:val="20"/>
          <w:szCs w:val="20"/>
        </w:rPr>
        <w:t>enabled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3A9B">
        <w:rPr>
          <w:rFonts w:ascii="Arial" w:hAnsi="Arial" w:cs="Arial"/>
          <w:sz w:val="20"/>
          <w:szCs w:val="20"/>
        </w:rPr>
        <w:t>minimal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use.</w:t>
      </w:r>
    </w:p>
    <w:p w14:paraId="2B8ADB9A" w14:textId="77777777" w:rsidR="007A3A9B" w:rsidRPr="007A3A9B" w:rsidRDefault="007A3A9B" w:rsidP="007A3A9B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IAM Roles and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Policies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Least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privilege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model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applied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09177AB1" w14:textId="77777777" w:rsidR="007A3A9B" w:rsidRPr="007A3A9B" w:rsidRDefault="007A3A9B" w:rsidP="007A3A9B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lastRenderedPageBreak/>
        <w:t xml:space="preserve">Access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Controls</w:t>
      </w:r>
      <w:proofErr w:type="spellEnd"/>
      <w:r w:rsidRPr="007A3A9B">
        <w:rPr>
          <w:rFonts w:ascii="Arial" w:hAnsi="Arial" w:cs="Arial"/>
          <w:sz w:val="20"/>
          <w:szCs w:val="20"/>
        </w:rPr>
        <w:t>: Role-</w:t>
      </w:r>
      <w:proofErr w:type="spellStart"/>
      <w:r w:rsidRPr="007A3A9B">
        <w:rPr>
          <w:rFonts w:ascii="Arial" w:hAnsi="Arial" w:cs="Arial"/>
          <w:sz w:val="20"/>
          <w:szCs w:val="20"/>
        </w:rPr>
        <w:t>based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with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dedicated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credentials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for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partner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admins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64CA8050" w14:textId="77777777" w:rsidR="007A3A9B" w:rsidRPr="007A3A9B" w:rsidRDefault="007A3A9B" w:rsidP="007A3A9B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Logging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Auditing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CloudTrail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enabled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47A956C0" w14:textId="77777777" w:rsidR="007A3A9B" w:rsidRPr="007A3A9B" w:rsidRDefault="007A3A9B" w:rsidP="007A3A9B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>Network Security</w:t>
      </w:r>
      <w:r w:rsidRPr="007A3A9B">
        <w:rPr>
          <w:rFonts w:ascii="Arial" w:hAnsi="Arial" w:cs="Arial"/>
          <w:sz w:val="20"/>
          <w:szCs w:val="20"/>
        </w:rPr>
        <w:t xml:space="preserve">: VPC Security </w:t>
      </w:r>
      <w:proofErr w:type="spellStart"/>
      <w:r w:rsidRPr="007A3A9B">
        <w:rPr>
          <w:rFonts w:ascii="Arial" w:hAnsi="Arial" w:cs="Arial"/>
          <w:sz w:val="20"/>
          <w:szCs w:val="20"/>
        </w:rPr>
        <w:t>Groups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with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least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access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rules.</w:t>
      </w:r>
    </w:p>
    <w:p w14:paraId="4671EDD9" w14:textId="77777777" w:rsidR="007A3A9B" w:rsidRPr="007A3A9B" w:rsidRDefault="007A3A9B" w:rsidP="007A3A9B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Encryption</w:t>
      </w:r>
      <w:proofErr w:type="spellEnd"/>
      <w:r w:rsidRPr="007A3A9B">
        <w:rPr>
          <w:rFonts w:ascii="Arial" w:hAnsi="Arial" w:cs="Arial"/>
          <w:sz w:val="20"/>
          <w:szCs w:val="20"/>
        </w:rPr>
        <w:t>:</w:t>
      </w:r>
    </w:p>
    <w:p w14:paraId="1BBE7F77" w14:textId="77777777" w:rsidR="007A3A9B" w:rsidRPr="007A3A9B" w:rsidRDefault="007A3A9B" w:rsidP="007A3A9B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At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Rest</w:t>
      </w:r>
      <w:proofErr w:type="spellEnd"/>
      <w:r w:rsidRPr="007A3A9B">
        <w:rPr>
          <w:rFonts w:ascii="Arial" w:hAnsi="Arial" w:cs="Arial"/>
          <w:sz w:val="20"/>
          <w:szCs w:val="20"/>
        </w:rPr>
        <w:t>: AWS-</w:t>
      </w:r>
      <w:proofErr w:type="spellStart"/>
      <w:r w:rsidRPr="007A3A9B">
        <w:rPr>
          <w:rFonts w:ascii="Arial" w:hAnsi="Arial" w:cs="Arial"/>
          <w:sz w:val="20"/>
          <w:szCs w:val="20"/>
        </w:rPr>
        <w:t>managed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keys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for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EBS, RDS.</w:t>
      </w:r>
    </w:p>
    <w:p w14:paraId="762CC5B4" w14:textId="77777777" w:rsidR="007A3A9B" w:rsidRPr="007A3A9B" w:rsidRDefault="007A3A9B" w:rsidP="007A3A9B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In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Transit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TLS </w:t>
      </w:r>
      <w:proofErr w:type="spellStart"/>
      <w:r w:rsidRPr="007A3A9B">
        <w:rPr>
          <w:rFonts w:ascii="Arial" w:hAnsi="Arial" w:cs="Arial"/>
          <w:sz w:val="20"/>
          <w:szCs w:val="20"/>
        </w:rPr>
        <w:t>certificates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via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Certificate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Manager.</w:t>
      </w:r>
    </w:p>
    <w:p w14:paraId="2EA9838D" w14:textId="1DCDFD56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3828871F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6.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Excellence</w:t>
      </w:r>
      <w:proofErr w:type="spellEnd"/>
    </w:p>
    <w:p w14:paraId="05D4945F" w14:textId="77777777" w:rsidR="007A3A9B" w:rsidRPr="007A3A9B" w:rsidRDefault="007A3A9B" w:rsidP="007A3A9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Patch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Management</w:t>
      </w:r>
      <w:r w:rsidRPr="007A3A9B">
        <w:rPr>
          <w:rFonts w:ascii="Arial" w:hAnsi="Arial" w:cs="Arial"/>
          <w:sz w:val="20"/>
          <w:szCs w:val="20"/>
        </w:rPr>
        <w:t xml:space="preserve">: AWS </w:t>
      </w:r>
      <w:proofErr w:type="spellStart"/>
      <w:r w:rsidRPr="007A3A9B">
        <w:rPr>
          <w:rFonts w:ascii="Arial" w:hAnsi="Arial" w:cs="Arial"/>
          <w:sz w:val="20"/>
          <w:szCs w:val="20"/>
        </w:rPr>
        <w:t>Systems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Manager (manual </w:t>
      </w:r>
      <w:proofErr w:type="spellStart"/>
      <w:r w:rsidRPr="007A3A9B">
        <w:rPr>
          <w:rFonts w:ascii="Arial" w:hAnsi="Arial" w:cs="Arial"/>
          <w:sz w:val="20"/>
          <w:szCs w:val="20"/>
        </w:rPr>
        <w:t>install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after </w:t>
      </w:r>
      <w:proofErr w:type="spellStart"/>
      <w:r w:rsidRPr="007A3A9B">
        <w:rPr>
          <w:rFonts w:ascii="Arial" w:hAnsi="Arial" w:cs="Arial"/>
          <w:sz w:val="20"/>
          <w:szCs w:val="20"/>
        </w:rPr>
        <w:t>scan</w:t>
      </w:r>
      <w:proofErr w:type="spellEnd"/>
      <w:r w:rsidRPr="007A3A9B">
        <w:rPr>
          <w:rFonts w:ascii="Arial" w:hAnsi="Arial" w:cs="Arial"/>
          <w:sz w:val="20"/>
          <w:szCs w:val="20"/>
        </w:rPr>
        <w:t>).</w:t>
      </w:r>
    </w:p>
    <w:p w14:paraId="474CA766" w14:textId="77777777" w:rsidR="007A3A9B" w:rsidRPr="007A3A9B" w:rsidRDefault="007A3A9B" w:rsidP="007A3A9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CPU, </w:t>
      </w:r>
      <w:proofErr w:type="spellStart"/>
      <w:r w:rsidRPr="007A3A9B">
        <w:rPr>
          <w:rFonts w:ascii="Arial" w:hAnsi="Arial" w:cs="Arial"/>
          <w:sz w:val="20"/>
          <w:szCs w:val="20"/>
        </w:rPr>
        <w:t>memory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disk; </w:t>
      </w:r>
      <w:proofErr w:type="spellStart"/>
      <w:r w:rsidRPr="007A3A9B">
        <w:rPr>
          <w:rFonts w:ascii="Arial" w:hAnsi="Arial" w:cs="Arial"/>
          <w:sz w:val="20"/>
          <w:szCs w:val="20"/>
        </w:rPr>
        <w:t>alarms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threshold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breach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62BED84F" w14:textId="77777777" w:rsidR="007A3A9B" w:rsidRPr="007A3A9B" w:rsidRDefault="007A3A9B" w:rsidP="007A3A9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Log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Collection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Centralized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A3A9B">
        <w:rPr>
          <w:rFonts w:ascii="Arial" w:hAnsi="Arial" w:cs="Arial"/>
          <w:sz w:val="20"/>
          <w:szCs w:val="20"/>
        </w:rPr>
        <w:t>CloudWatch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from EC2 and RDS.</w:t>
      </w:r>
    </w:p>
    <w:p w14:paraId="4E7D29E3" w14:textId="77777777" w:rsidR="007A3A9B" w:rsidRPr="007A3A9B" w:rsidRDefault="007A3A9B" w:rsidP="007A3A9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Runbooks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EC2 </w:t>
      </w:r>
      <w:proofErr w:type="spellStart"/>
      <w:r w:rsidRPr="007A3A9B">
        <w:rPr>
          <w:rFonts w:ascii="Arial" w:hAnsi="Arial" w:cs="Arial"/>
          <w:sz w:val="20"/>
          <w:szCs w:val="20"/>
        </w:rPr>
        <w:t>start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/stop </w:t>
      </w:r>
      <w:proofErr w:type="spellStart"/>
      <w:r w:rsidRPr="007A3A9B">
        <w:rPr>
          <w:rFonts w:ascii="Arial" w:hAnsi="Arial" w:cs="Arial"/>
          <w:sz w:val="20"/>
          <w:szCs w:val="20"/>
        </w:rPr>
        <w:t>automation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3A9B">
        <w:rPr>
          <w:rFonts w:ascii="Arial" w:hAnsi="Arial" w:cs="Arial"/>
          <w:sz w:val="20"/>
          <w:szCs w:val="20"/>
        </w:rPr>
        <w:t>customer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training and </w:t>
      </w:r>
      <w:proofErr w:type="spellStart"/>
      <w:r w:rsidRPr="007A3A9B">
        <w:rPr>
          <w:rFonts w:ascii="Arial" w:hAnsi="Arial" w:cs="Arial"/>
          <w:sz w:val="20"/>
          <w:szCs w:val="20"/>
        </w:rPr>
        <w:t>documentation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provided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32BCC57A" w14:textId="77777777" w:rsidR="007A3A9B" w:rsidRPr="007A3A9B" w:rsidRDefault="007A3A9B" w:rsidP="007A3A9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Dev/Test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Environments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Isolated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QA </w:t>
      </w:r>
      <w:proofErr w:type="spellStart"/>
      <w:r w:rsidRPr="007A3A9B">
        <w:rPr>
          <w:rFonts w:ascii="Arial" w:hAnsi="Arial" w:cs="Arial"/>
          <w:sz w:val="20"/>
          <w:szCs w:val="20"/>
        </w:rPr>
        <w:t>setup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for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safe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testing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0EF0B543" w14:textId="027C887D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436679F2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7.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Reliability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and DR</w:t>
      </w:r>
    </w:p>
    <w:p w14:paraId="4D611201" w14:textId="77777777" w:rsidR="007A3A9B" w:rsidRPr="007A3A9B" w:rsidRDefault="007A3A9B" w:rsidP="007A3A9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IaC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via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Terraform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Automated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3A9B">
        <w:rPr>
          <w:rFonts w:ascii="Arial" w:hAnsi="Arial" w:cs="Arial"/>
          <w:sz w:val="20"/>
          <w:szCs w:val="20"/>
        </w:rPr>
        <w:t>version-controlled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provisioning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1FFC8915" w14:textId="77777777" w:rsidR="007A3A9B" w:rsidRPr="007A3A9B" w:rsidRDefault="007A3A9B" w:rsidP="007A3A9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Strategy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Daily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backups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with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3A9B">
        <w:rPr>
          <w:rFonts w:ascii="Arial" w:hAnsi="Arial" w:cs="Arial"/>
          <w:sz w:val="20"/>
          <w:szCs w:val="20"/>
        </w:rPr>
        <w:t>Backup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3623A081" w14:textId="77777777" w:rsidR="007A3A9B" w:rsidRPr="007A3A9B" w:rsidRDefault="007A3A9B" w:rsidP="007A3A9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>RTO</w:t>
      </w:r>
      <w:r w:rsidRPr="007A3A9B">
        <w:rPr>
          <w:rFonts w:ascii="Arial" w:hAnsi="Arial" w:cs="Arial"/>
          <w:sz w:val="20"/>
          <w:szCs w:val="20"/>
        </w:rPr>
        <w:t xml:space="preserve">: 2 </w:t>
      </w:r>
      <w:proofErr w:type="spellStart"/>
      <w:r w:rsidRPr="007A3A9B">
        <w:rPr>
          <w:rFonts w:ascii="Arial" w:hAnsi="Arial" w:cs="Arial"/>
          <w:sz w:val="20"/>
          <w:szCs w:val="20"/>
        </w:rPr>
        <w:t>hours</w:t>
      </w:r>
      <w:proofErr w:type="spellEnd"/>
    </w:p>
    <w:p w14:paraId="0FD13F58" w14:textId="77777777" w:rsidR="007A3A9B" w:rsidRPr="007A3A9B" w:rsidRDefault="007A3A9B" w:rsidP="007A3A9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>RPO</w:t>
      </w:r>
      <w:r w:rsidRPr="007A3A9B">
        <w:rPr>
          <w:rFonts w:ascii="Arial" w:hAnsi="Arial" w:cs="Arial"/>
          <w:sz w:val="20"/>
          <w:szCs w:val="20"/>
        </w:rPr>
        <w:t xml:space="preserve">: 24 </w:t>
      </w:r>
      <w:proofErr w:type="spellStart"/>
      <w:r w:rsidRPr="007A3A9B">
        <w:rPr>
          <w:rFonts w:ascii="Arial" w:hAnsi="Arial" w:cs="Arial"/>
          <w:sz w:val="20"/>
          <w:szCs w:val="20"/>
        </w:rPr>
        <w:t>hours</w:t>
      </w:r>
      <w:proofErr w:type="spellEnd"/>
    </w:p>
    <w:p w14:paraId="6977DB92" w14:textId="7E8CD862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362F709E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8.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Optimization</w:t>
      </w:r>
      <w:proofErr w:type="spellEnd"/>
    </w:p>
    <w:p w14:paraId="55002B8C" w14:textId="77777777" w:rsidR="007A3A9B" w:rsidRPr="007A3A9B" w:rsidRDefault="007A3A9B" w:rsidP="007A3A9B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Initial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TCO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Analysis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Conducted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using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3A9B">
        <w:rPr>
          <w:rFonts w:ascii="Arial" w:hAnsi="Arial" w:cs="Arial"/>
          <w:sz w:val="20"/>
          <w:szCs w:val="20"/>
        </w:rPr>
        <w:t>Pricing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Calculator</w:t>
      </w:r>
      <w:proofErr w:type="spellEnd"/>
      <w:r w:rsidRPr="007A3A9B">
        <w:rPr>
          <w:rFonts w:ascii="Arial" w:hAnsi="Arial" w:cs="Arial"/>
          <w:sz w:val="20"/>
          <w:szCs w:val="20"/>
        </w:rPr>
        <w:br/>
        <w:t xml:space="preserve">[Link: </w:t>
      </w:r>
      <w:hyperlink r:id="rId8" w:anchor="/estimate?id=78cccb0908e0a965285c91341ddab047107fc693" w:history="1">
        <w:r w:rsidRPr="007A3A9B">
          <w:rPr>
            <w:rStyle w:val="Hipervnculo"/>
            <w:rFonts w:ascii="Arial" w:hAnsi="Arial" w:cs="Arial"/>
            <w:sz w:val="20"/>
            <w:szCs w:val="20"/>
          </w:rPr>
          <w:t>https://calculator.aws/#/estimate?id=78cccb0908e0a965285c91341ddab047107fc693</w:t>
        </w:r>
      </w:hyperlink>
      <w:r w:rsidRPr="007A3A9B">
        <w:rPr>
          <w:rFonts w:ascii="Arial" w:hAnsi="Arial" w:cs="Arial"/>
          <w:sz w:val="20"/>
          <w:szCs w:val="20"/>
        </w:rPr>
        <w:t>]</w:t>
      </w:r>
    </w:p>
    <w:p w14:paraId="02938503" w14:textId="77777777" w:rsidR="007A3A9B" w:rsidRPr="007A3A9B" w:rsidRDefault="007A3A9B" w:rsidP="007A3A9B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Deployment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in Single AZ</w:t>
      </w:r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Cost-saving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measure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per </w:t>
      </w:r>
      <w:proofErr w:type="spellStart"/>
      <w:r w:rsidRPr="007A3A9B">
        <w:rPr>
          <w:rFonts w:ascii="Arial" w:hAnsi="Arial" w:cs="Arial"/>
          <w:sz w:val="20"/>
          <w:szCs w:val="20"/>
        </w:rPr>
        <w:t>client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request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70626DD3" w14:textId="77777777" w:rsidR="007A3A9B" w:rsidRPr="007A3A9B" w:rsidRDefault="007A3A9B" w:rsidP="007A3A9B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Right-Sizing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A3A9B">
        <w:rPr>
          <w:rFonts w:ascii="Arial" w:hAnsi="Arial" w:cs="Arial"/>
          <w:sz w:val="20"/>
          <w:szCs w:val="20"/>
        </w:rPr>
        <w:t>Based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CloudWatch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metrics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0B1C182A" w14:textId="4CA7CCD1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4FD7CC03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9.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Governance</w:t>
      </w:r>
      <w:proofErr w:type="spellEnd"/>
      <w:r w:rsidRPr="007A3A9B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Compliance</w:t>
      </w:r>
      <w:proofErr w:type="spellEnd"/>
    </w:p>
    <w:p w14:paraId="24BA773E" w14:textId="77777777" w:rsidR="007A3A9B" w:rsidRPr="007A3A9B" w:rsidRDefault="007A3A9B" w:rsidP="007A3A9B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Landing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Zone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setup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with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secure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VPC </w:t>
      </w:r>
      <w:proofErr w:type="spellStart"/>
      <w:r w:rsidRPr="007A3A9B">
        <w:rPr>
          <w:rFonts w:ascii="Arial" w:hAnsi="Arial" w:cs="Arial"/>
          <w:sz w:val="20"/>
          <w:szCs w:val="20"/>
        </w:rPr>
        <w:t>configuration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207D4B6F" w14:textId="77777777" w:rsidR="007A3A9B" w:rsidRPr="007A3A9B" w:rsidRDefault="007A3A9B" w:rsidP="007A3A9B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sz w:val="20"/>
          <w:szCs w:val="20"/>
        </w:rPr>
        <w:t xml:space="preserve">IAM </w:t>
      </w:r>
      <w:proofErr w:type="spellStart"/>
      <w:r w:rsidRPr="007A3A9B">
        <w:rPr>
          <w:rFonts w:ascii="Arial" w:hAnsi="Arial" w:cs="Arial"/>
          <w:sz w:val="20"/>
          <w:szCs w:val="20"/>
        </w:rPr>
        <w:t>compliance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with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client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policy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01C3A6DD" w14:textId="77777777" w:rsidR="007A3A9B" w:rsidRPr="007A3A9B" w:rsidRDefault="007A3A9B" w:rsidP="007A3A9B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A3A9B">
        <w:rPr>
          <w:rFonts w:ascii="Arial" w:hAnsi="Arial" w:cs="Arial"/>
          <w:sz w:val="20"/>
          <w:szCs w:val="20"/>
        </w:rPr>
        <w:t xml:space="preserve">Administrative </w:t>
      </w:r>
      <w:proofErr w:type="spellStart"/>
      <w:r w:rsidRPr="007A3A9B">
        <w:rPr>
          <w:rFonts w:ascii="Arial" w:hAnsi="Arial" w:cs="Arial"/>
          <w:sz w:val="20"/>
          <w:szCs w:val="20"/>
        </w:rPr>
        <w:t>access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restricted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A3A9B">
        <w:rPr>
          <w:rFonts w:ascii="Arial" w:hAnsi="Arial" w:cs="Arial"/>
          <w:sz w:val="20"/>
          <w:szCs w:val="20"/>
        </w:rPr>
        <w:t>audited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49E50EFA" w14:textId="77777777" w:rsidR="007A3A9B" w:rsidRPr="007A3A9B" w:rsidRDefault="007A3A9B" w:rsidP="007A3A9B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lastRenderedPageBreak/>
        <w:t>Ongoing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user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training and </w:t>
      </w:r>
      <w:proofErr w:type="spellStart"/>
      <w:r w:rsidRPr="007A3A9B">
        <w:rPr>
          <w:rFonts w:ascii="Arial" w:hAnsi="Arial" w:cs="Arial"/>
          <w:sz w:val="20"/>
          <w:szCs w:val="20"/>
        </w:rPr>
        <w:t>handover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sessions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3A9B">
        <w:rPr>
          <w:rFonts w:ascii="Arial" w:hAnsi="Arial" w:cs="Arial"/>
          <w:sz w:val="20"/>
          <w:szCs w:val="20"/>
        </w:rPr>
        <w:t>recorded</w:t>
      </w:r>
      <w:proofErr w:type="spellEnd"/>
      <w:r w:rsidRPr="007A3A9B">
        <w:rPr>
          <w:rFonts w:ascii="Arial" w:hAnsi="Arial" w:cs="Arial"/>
          <w:sz w:val="20"/>
          <w:szCs w:val="20"/>
        </w:rPr>
        <w:t>).</w:t>
      </w:r>
    </w:p>
    <w:p w14:paraId="737C6A7B" w14:textId="5C69419F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</w:p>
    <w:p w14:paraId="070DE37A" w14:textId="77777777" w:rsidR="007A3A9B" w:rsidRPr="007A3A9B" w:rsidRDefault="007A3A9B" w:rsidP="007A3A9B">
      <w:pPr>
        <w:rPr>
          <w:rFonts w:ascii="Arial" w:hAnsi="Arial" w:cs="Arial"/>
          <w:b/>
          <w:bCs/>
          <w:sz w:val="20"/>
          <w:szCs w:val="20"/>
        </w:rPr>
      </w:pPr>
      <w:r w:rsidRPr="007A3A9B">
        <w:rPr>
          <w:rFonts w:ascii="Arial" w:hAnsi="Arial" w:cs="Arial"/>
          <w:b/>
          <w:bCs/>
          <w:sz w:val="20"/>
          <w:szCs w:val="20"/>
        </w:rPr>
        <w:t xml:space="preserve">10. </w:t>
      </w:r>
      <w:proofErr w:type="spellStart"/>
      <w:r w:rsidRPr="007A3A9B">
        <w:rPr>
          <w:rFonts w:ascii="Arial" w:hAnsi="Arial" w:cs="Arial"/>
          <w:b/>
          <w:bCs/>
          <w:sz w:val="20"/>
          <w:szCs w:val="20"/>
        </w:rPr>
        <w:t>Conclusion</w:t>
      </w:r>
      <w:proofErr w:type="spellEnd"/>
    </w:p>
    <w:p w14:paraId="3ADC7D49" w14:textId="77777777" w:rsidR="007A3A9B" w:rsidRPr="007A3A9B" w:rsidRDefault="007A3A9B" w:rsidP="007A3A9B">
      <w:pPr>
        <w:rPr>
          <w:rFonts w:ascii="Arial" w:hAnsi="Arial" w:cs="Arial"/>
          <w:sz w:val="20"/>
          <w:szCs w:val="20"/>
        </w:rPr>
      </w:pPr>
      <w:proofErr w:type="spellStart"/>
      <w:r w:rsidRPr="007A3A9B">
        <w:rPr>
          <w:rFonts w:ascii="Arial" w:hAnsi="Arial" w:cs="Arial"/>
          <w:sz w:val="20"/>
          <w:szCs w:val="20"/>
        </w:rPr>
        <w:t>This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solution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successfully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modernized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Infinity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Gifts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Souvenirs' IT </w:t>
      </w:r>
      <w:proofErr w:type="spellStart"/>
      <w:r w:rsidRPr="007A3A9B">
        <w:rPr>
          <w:rFonts w:ascii="Arial" w:hAnsi="Arial" w:cs="Arial"/>
          <w:sz w:val="20"/>
          <w:szCs w:val="20"/>
        </w:rPr>
        <w:t>infrastructure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by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leveraging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3A9B">
        <w:rPr>
          <w:rFonts w:ascii="Arial" w:hAnsi="Arial" w:cs="Arial"/>
          <w:sz w:val="20"/>
          <w:szCs w:val="20"/>
        </w:rPr>
        <w:t>cloud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services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A3A9B">
        <w:rPr>
          <w:rFonts w:ascii="Arial" w:hAnsi="Arial" w:cs="Arial"/>
          <w:sz w:val="20"/>
          <w:szCs w:val="20"/>
        </w:rPr>
        <w:t>It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met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all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technical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A3A9B">
        <w:rPr>
          <w:rFonts w:ascii="Arial" w:hAnsi="Arial" w:cs="Arial"/>
          <w:sz w:val="20"/>
          <w:szCs w:val="20"/>
        </w:rPr>
        <w:t>business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requirements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including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security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3A9B">
        <w:rPr>
          <w:rFonts w:ascii="Arial" w:hAnsi="Arial" w:cs="Arial"/>
          <w:sz w:val="20"/>
          <w:szCs w:val="20"/>
        </w:rPr>
        <w:t>scalability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3A9B">
        <w:rPr>
          <w:rFonts w:ascii="Arial" w:hAnsi="Arial" w:cs="Arial"/>
          <w:sz w:val="20"/>
          <w:szCs w:val="20"/>
        </w:rPr>
        <w:t>cost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efficiency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3A9B">
        <w:rPr>
          <w:rFonts w:ascii="Arial" w:hAnsi="Arial" w:cs="Arial"/>
          <w:sz w:val="20"/>
          <w:szCs w:val="20"/>
        </w:rPr>
        <w:t>operational</w:t>
      </w:r>
      <w:proofErr w:type="spellEnd"/>
      <w:r w:rsidRPr="007A3A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3A9B">
        <w:rPr>
          <w:rFonts w:ascii="Arial" w:hAnsi="Arial" w:cs="Arial"/>
          <w:sz w:val="20"/>
          <w:szCs w:val="20"/>
        </w:rPr>
        <w:t>readiness</w:t>
      </w:r>
      <w:proofErr w:type="spellEnd"/>
      <w:r w:rsidRPr="007A3A9B">
        <w:rPr>
          <w:rFonts w:ascii="Arial" w:hAnsi="Arial" w:cs="Arial"/>
          <w:sz w:val="20"/>
          <w:szCs w:val="20"/>
        </w:rPr>
        <w:t>.</w:t>
      </w:r>
    </w:p>
    <w:p w14:paraId="4AC6FD4C" w14:textId="3504D51F" w:rsidR="007A6A1E" w:rsidRPr="007A3A9B" w:rsidRDefault="007A6A1E" w:rsidP="007A6A1E">
      <w:pPr>
        <w:rPr>
          <w:rFonts w:ascii="Arial" w:hAnsi="Arial" w:cs="Arial"/>
          <w:sz w:val="20"/>
          <w:szCs w:val="20"/>
        </w:rPr>
      </w:pPr>
    </w:p>
    <w:p w14:paraId="1D69BE3F" w14:textId="77777777" w:rsidR="0089173A" w:rsidRPr="007A3A9B" w:rsidRDefault="0089173A">
      <w:pPr>
        <w:rPr>
          <w:rFonts w:ascii="Arial" w:hAnsi="Arial" w:cs="Arial"/>
          <w:sz w:val="20"/>
          <w:szCs w:val="20"/>
        </w:rPr>
      </w:pPr>
    </w:p>
    <w:sectPr w:rsidR="0089173A" w:rsidRPr="007A3A9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EEFD0" w14:textId="77777777" w:rsidR="00821A35" w:rsidRDefault="00821A35" w:rsidP="00821A35">
      <w:pPr>
        <w:spacing w:after="0" w:line="240" w:lineRule="auto"/>
      </w:pPr>
      <w:r>
        <w:separator/>
      </w:r>
    </w:p>
  </w:endnote>
  <w:endnote w:type="continuationSeparator" w:id="0">
    <w:p w14:paraId="39C17EB3" w14:textId="77777777" w:rsidR="00821A35" w:rsidRDefault="00821A35" w:rsidP="0082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3189C" w14:textId="77777777" w:rsidR="00821A35" w:rsidRDefault="00821A35" w:rsidP="00821A35">
      <w:pPr>
        <w:spacing w:after="0" w:line="240" w:lineRule="auto"/>
      </w:pPr>
      <w:r>
        <w:separator/>
      </w:r>
    </w:p>
  </w:footnote>
  <w:footnote w:type="continuationSeparator" w:id="0">
    <w:p w14:paraId="0EB412AC" w14:textId="77777777" w:rsidR="00821A35" w:rsidRDefault="00821A35" w:rsidP="0082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B8B2D" w14:textId="0642EE85" w:rsidR="00821A35" w:rsidRPr="00420C86" w:rsidRDefault="00420C86" w:rsidP="00420C86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795A657" wp14:editId="50C526A1">
          <wp:simplePos x="0" y="0"/>
          <wp:positionH relativeFrom="margin">
            <wp:align>right</wp:align>
          </wp:positionH>
          <wp:positionV relativeFrom="paragraph">
            <wp:posOffset>-26035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7FF65A2" wp14:editId="33E1E5B8">
          <wp:simplePos x="0" y="0"/>
          <wp:positionH relativeFrom="margin">
            <wp:posOffset>0</wp:posOffset>
          </wp:positionH>
          <wp:positionV relativeFrom="paragraph">
            <wp:posOffset>10795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4424"/>
    <w:multiLevelType w:val="multilevel"/>
    <w:tmpl w:val="B89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E44E7"/>
    <w:multiLevelType w:val="multilevel"/>
    <w:tmpl w:val="346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0522"/>
    <w:multiLevelType w:val="multilevel"/>
    <w:tmpl w:val="180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C7A54"/>
    <w:multiLevelType w:val="multilevel"/>
    <w:tmpl w:val="545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B7BB0"/>
    <w:multiLevelType w:val="multilevel"/>
    <w:tmpl w:val="9F5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04549"/>
    <w:multiLevelType w:val="multilevel"/>
    <w:tmpl w:val="6DE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228E1"/>
    <w:multiLevelType w:val="multilevel"/>
    <w:tmpl w:val="1A7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2779E"/>
    <w:multiLevelType w:val="multilevel"/>
    <w:tmpl w:val="63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635B1"/>
    <w:multiLevelType w:val="multilevel"/>
    <w:tmpl w:val="088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F654C"/>
    <w:multiLevelType w:val="multilevel"/>
    <w:tmpl w:val="C4A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506A4"/>
    <w:multiLevelType w:val="multilevel"/>
    <w:tmpl w:val="C96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F069A"/>
    <w:multiLevelType w:val="multilevel"/>
    <w:tmpl w:val="F23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D6E6D"/>
    <w:multiLevelType w:val="multilevel"/>
    <w:tmpl w:val="2438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C17C8"/>
    <w:multiLevelType w:val="multilevel"/>
    <w:tmpl w:val="EEA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17019"/>
    <w:multiLevelType w:val="multilevel"/>
    <w:tmpl w:val="66E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1048">
    <w:abstractNumId w:val="7"/>
  </w:num>
  <w:num w:numId="2" w16cid:durableId="72356568">
    <w:abstractNumId w:val="14"/>
  </w:num>
  <w:num w:numId="3" w16cid:durableId="867521799">
    <w:abstractNumId w:val="3"/>
  </w:num>
  <w:num w:numId="4" w16cid:durableId="882406473">
    <w:abstractNumId w:val="6"/>
  </w:num>
  <w:num w:numId="5" w16cid:durableId="599803063">
    <w:abstractNumId w:val="9"/>
  </w:num>
  <w:num w:numId="6" w16cid:durableId="43413991">
    <w:abstractNumId w:val="8"/>
  </w:num>
  <w:num w:numId="7" w16cid:durableId="962156347">
    <w:abstractNumId w:val="11"/>
  </w:num>
  <w:num w:numId="8" w16cid:durableId="1316836716">
    <w:abstractNumId w:val="4"/>
  </w:num>
  <w:num w:numId="9" w16cid:durableId="822045366">
    <w:abstractNumId w:val="2"/>
  </w:num>
  <w:num w:numId="10" w16cid:durableId="440997312">
    <w:abstractNumId w:val="1"/>
  </w:num>
  <w:num w:numId="11" w16cid:durableId="1251158282">
    <w:abstractNumId w:val="10"/>
  </w:num>
  <w:num w:numId="12" w16cid:durableId="1838030942">
    <w:abstractNumId w:val="0"/>
  </w:num>
  <w:num w:numId="13" w16cid:durableId="510067486">
    <w:abstractNumId w:val="13"/>
  </w:num>
  <w:num w:numId="14" w16cid:durableId="1382904015">
    <w:abstractNumId w:val="5"/>
  </w:num>
  <w:num w:numId="15" w16cid:durableId="603466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1E"/>
    <w:rsid w:val="000E52EC"/>
    <w:rsid w:val="0035585E"/>
    <w:rsid w:val="00361875"/>
    <w:rsid w:val="003A6086"/>
    <w:rsid w:val="00420C86"/>
    <w:rsid w:val="00462336"/>
    <w:rsid w:val="005376DA"/>
    <w:rsid w:val="006520D1"/>
    <w:rsid w:val="007A18EA"/>
    <w:rsid w:val="007A3A9B"/>
    <w:rsid w:val="007A6A1E"/>
    <w:rsid w:val="00821A35"/>
    <w:rsid w:val="0089173A"/>
    <w:rsid w:val="008E7A39"/>
    <w:rsid w:val="00A80E32"/>
    <w:rsid w:val="00CC4CD0"/>
    <w:rsid w:val="00E1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71659830"/>
  <w15:chartTrackingRefBased/>
  <w15:docId w15:val="{5490E6D5-1034-4283-BF10-A4168FF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A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3A9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A9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A35"/>
  </w:style>
  <w:style w:type="paragraph" w:styleId="Piedepgina">
    <w:name w:val="footer"/>
    <w:basedOn w:val="Normal"/>
    <w:link w:val="PiedepginaCar"/>
    <w:uiPriority w:val="99"/>
    <w:unhideWhenUsed/>
    <w:rsid w:val="0082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ator.a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11</cp:revision>
  <dcterms:created xsi:type="dcterms:W3CDTF">2025-06-03T17:55:00Z</dcterms:created>
  <dcterms:modified xsi:type="dcterms:W3CDTF">2025-07-29T22:20:00Z</dcterms:modified>
</cp:coreProperties>
</file>