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79CB" w14:textId="77777777" w:rsidR="000E62D9" w:rsidRPr="00FA206A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SMBCTEX-003 – Expert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Design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Review</w:t>
      </w:r>
      <w:proofErr w:type="spellEnd"/>
    </w:p>
    <w:p w14:paraId="17B8B544" w14:textId="6087AB85" w:rsidR="000E62D9" w:rsidRPr="00FA206A" w:rsidRDefault="00696C7E" w:rsidP="000E62D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40EA2C8">
          <v:rect id="_x0000_i1025" style="width:0;height:1.5pt" o:hralign="center" o:hrstd="t" o:hr="t" fillcolor="#a0a0a0" stroked="f"/>
        </w:pict>
      </w:r>
    </w:p>
    <w:p w14:paraId="02962CA7" w14:textId="7564D76B" w:rsidR="000E62D9" w:rsidRPr="00FA206A" w:rsidRDefault="000E62D9" w:rsidP="000E62D9">
      <w:p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Title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</w:t>
      </w:r>
      <w:r w:rsidR="000B7BF8" w:rsidRPr="000B7BF8">
        <w:rPr>
          <w:rFonts w:ascii="Arial" w:hAnsi="Arial" w:cs="Arial"/>
          <w:sz w:val="20"/>
          <w:szCs w:val="20"/>
        </w:rPr>
        <w:t>IX-RD-PS-Infinity-01</w:t>
      </w:r>
      <w:r w:rsidR="000B7BF8" w:rsidRPr="000B7BF8">
        <w:rPr>
          <w:rFonts w:ascii="Arial" w:hAnsi="Arial" w:cs="Arial"/>
          <w:sz w:val="20"/>
          <w:szCs w:val="20"/>
        </w:rPr>
        <w:tab/>
        <w:t xml:space="preserve">Migración y modernización infraestructura </w:t>
      </w:r>
      <w:proofErr w:type="spellStart"/>
      <w:r w:rsidR="000B7BF8" w:rsidRPr="000B7BF8">
        <w:rPr>
          <w:rFonts w:ascii="Arial" w:hAnsi="Arial" w:cs="Arial"/>
          <w:sz w:val="20"/>
          <w:szCs w:val="20"/>
        </w:rPr>
        <w:t>Infinity</w:t>
      </w:r>
      <w:proofErr w:type="spellEnd"/>
      <w:r w:rsidRPr="00FA206A">
        <w:rPr>
          <w:rFonts w:ascii="Arial" w:hAnsi="Arial" w:cs="Arial"/>
          <w:sz w:val="20"/>
          <w:szCs w:val="20"/>
        </w:rPr>
        <w:br/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Title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Expert </w:t>
      </w:r>
      <w:proofErr w:type="spellStart"/>
      <w:r w:rsidRPr="00FA206A">
        <w:rPr>
          <w:rFonts w:ascii="Arial" w:hAnsi="Arial" w:cs="Arial"/>
          <w:sz w:val="20"/>
          <w:szCs w:val="20"/>
        </w:rPr>
        <w:t>Design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Review</w:t>
      </w:r>
      <w:proofErr w:type="spellEnd"/>
      <w:r w:rsidRPr="00FA206A">
        <w:rPr>
          <w:rFonts w:ascii="Arial" w:hAnsi="Arial" w:cs="Arial"/>
          <w:sz w:val="20"/>
          <w:szCs w:val="20"/>
        </w:rPr>
        <w:br/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SMBCTEX-003</w:t>
      </w:r>
      <w:r w:rsidRPr="00FA206A">
        <w:rPr>
          <w:rFonts w:ascii="Arial" w:hAnsi="Arial" w:cs="Arial"/>
          <w:sz w:val="20"/>
          <w:szCs w:val="20"/>
        </w:rPr>
        <w:br/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Version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1.0</w:t>
      </w:r>
      <w:r w:rsidRPr="00FA206A">
        <w:rPr>
          <w:rFonts w:ascii="Arial" w:hAnsi="Arial" w:cs="Arial"/>
          <w:sz w:val="20"/>
          <w:szCs w:val="20"/>
        </w:rPr>
        <w:br/>
      </w:r>
      <w:r w:rsidRPr="00FA206A">
        <w:rPr>
          <w:rFonts w:ascii="Arial" w:hAnsi="Arial" w:cs="Arial"/>
          <w:b/>
          <w:bCs/>
          <w:sz w:val="20"/>
          <w:szCs w:val="20"/>
        </w:rPr>
        <w:t>Date:</w:t>
      </w:r>
      <w:r w:rsidRPr="00FA206A">
        <w:rPr>
          <w:rFonts w:ascii="Arial" w:hAnsi="Arial" w:cs="Arial"/>
          <w:sz w:val="20"/>
          <w:szCs w:val="20"/>
        </w:rPr>
        <w:t xml:space="preserve"> June 3, 2025</w:t>
      </w:r>
      <w:r w:rsidRPr="00FA206A">
        <w:rPr>
          <w:rFonts w:ascii="Arial" w:hAnsi="Arial" w:cs="Arial"/>
          <w:sz w:val="20"/>
          <w:szCs w:val="20"/>
        </w:rPr>
        <w:br/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Prepared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Intcomex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Cloud</w:t>
      </w:r>
      <w:r w:rsidRPr="00FA206A">
        <w:rPr>
          <w:rFonts w:ascii="Arial" w:hAnsi="Arial" w:cs="Arial"/>
          <w:sz w:val="20"/>
          <w:szCs w:val="20"/>
        </w:rPr>
        <w:br/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Reviewed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Julio Diaz</w:t>
      </w:r>
    </w:p>
    <w:p w14:paraId="563BB638" w14:textId="38A92C17" w:rsidR="000E62D9" w:rsidRPr="00FA206A" w:rsidRDefault="000E62D9" w:rsidP="000E62D9">
      <w:pPr>
        <w:rPr>
          <w:rFonts w:ascii="Arial" w:hAnsi="Arial" w:cs="Arial"/>
          <w:sz w:val="20"/>
          <w:szCs w:val="20"/>
        </w:rPr>
      </w:pPr>
    </w:p>
    <w:p w14:paraId="4AC99019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1.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Review</w:t>
      </w:r>
      <w:proofErr w:type="spellEnd"/>
    </w:p>
    <w:p w14:paraId="31A9F0F1" w14:textId="77777777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This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document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presents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expert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technical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review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cloud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solution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architecture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deployment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Infinity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Gifts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Souvenirs.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evaluation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focuses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alignment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with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FA206A">
        <w:rPr>
          <w:rFonts w:ascii="Arial" w:hAnsi="Arial" w:cs="Arial"/>
          <w:sz w:val="20"/>
          <w:szCs w:val="20"/>
        </w:rPr>
        <w:t>best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practices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across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five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pillars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FA206A">
        <w:rPr>
          <w:rFonts w:ascii="Arial" w:hAnsi="Arial" w:cs="Arial"/>
          <w:sz w:val="20"/>
          <w:szCs w:val="20"/>
        </w:rPr>
        <w:t>Well-Architected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Framework: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Excellence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</w:t>
      </w:r>
      <w:r w:rsidRPr="00FA206A">
        <w:rPr>
          <w:rFonts w:ascii="Arial" w:hAnsi="Arial" w:cs="Arial"/>
          <w:b/>
          <w:bCs/>
          <w:sz w:val="20"/>
          <w:szCs w:val="20"/>
        </w:rPr>
        <w:t>Security</w:t>
      </w:r>
      <w:r w:rsidRPr="00FA206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Reliability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</w:t>
      </w:r>
      <w:r w:rsidRPr="00FA206A">
        <w:rPr>
          <w:rFonts w:ascii="Arial" w:hAnsi="Arial" w:cs="Arial"/>
          <w:b/>
          <w:bCs/>
          <w:sz w:val="20"/>
          <w:szCs w:val="20"/>
        </w:rPr>
        <w:t xml:space="preserve">Performance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Efficiency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Optimization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5F8D0991" w14:textId="4D0D50E3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40B4EC79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2.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Summary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Findings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168"/>
        <w:gridCol w:w="4586"/>
      </w:tblGrid>
      <w:tr w:rsidR="00FA206A" w:rsidRPr="00FA206A" w14:paraId="16F89791" w14:textId="77777777" w:rsidTr="000B7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0ADE7" w14:textId="77777777" w:rsidR="00FA206A" w:rsidRPr="00FA206A" w:rsidRDefault="00FA206A" w:rsidP="00FA20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C6FDB" w14:textId="77777777" w:rsidR="00FA206A" w:rsidRPr="00FA206A" w:rsidRDefault="00FA206A" w:rsidP="00FA20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>Review</w:t>
            </w:r>
            <w:proofErr w:type="spellEnd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BDEA1" w14:textId="77777777" w:rsidR="00FA206A" w:rsidRPr="00FA206A" w:rsidRDefault="00FA206A" w:rsidP="00FA20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>Summary</w:t>
            </w:r>
            <w:proofErr w:type="spellEnd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>Comment</w:t>
            </w:r>
            <w:proofErr w:type="spellEnd"/>
          </w:p>
        </w:tc>
      </w:tr>
      <w:tr w:rsidR="00FA206A" w:rsidRPr="00FA206A" w14:paraId="310F384B" w14:textId="77777777" w:rsidTr="000B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B42D2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Operational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Excellence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F49C4" w14:textId="69A275FF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Meets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Best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DD3B2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Monitoring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runbooks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automation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in place.</w:t>
            </w:r>
          </w:p>
        </w:tc>
      </w:tr>
      <w:tr w:rsidR="00FA206A" w:rsidRPr="00FA206A" w14:paraId="0C208127" w14:textId="77777777" w:rsidTr="000B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6CEA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r w:rsidRPr="00FA206A"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F32146B" w14:textId="3EA9F398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Meets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Best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60452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r w:rsidRPr="00FA206A">
              <w:rPr>
                <w:rFonts w:ascii="Arial" w:hAnsi="Arial" w:cs="Arial"/>
                <w:sz w:val="20"/>
                <w:szCs w:val="20"/>
              </w:rPr>
              <w:t xml:space="preserve">IAM,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encryption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logging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root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security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enforced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06A" w:rsidRPr="00FA206A" w14:paraId="3C157D71" w14:textId="77777777" w:rsidTr="000B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773F5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Reliability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86015" w14:textId="39056166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Acceptable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Caveats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AFCEA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A206A">
              <w:rPr>
                <w:rFonts w:ascii="Arial" w:hAnsi="Arial" w:cs="Arial"/>
                <w:sz w:val="20"/>
                <w:szCs w:val="20"/>
              </w:rPr>
              <w:t>Single</w:t>
            </w:r>
            <w:proofErr w:type="gramEnd"/>
            <w:r w:rsidRPr="00FA206A">
              <w:rPr>
                <w:rFonts w:ascii="Arial" w:hAnsi="Arial" w:cs="Arial"/>
                <w:sz w:val="20"/>
                <w:szCs w:val="20"/>
              </w:rPr>
              <w:t xml:space="preserve">-AZ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limits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high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availability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06A" w:rsidRPr="00FA206A" w14:paraId="3795AD55" w14:textId="77777777" w:rsidTr="000B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2920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r w:rsidRPr="00FA206A">
              <w:rPr>
                <w:rFonts w:ascii="Arial" w:hAnsi="Arial" w:cs="Arial"/>
                <w:sz w:val="20"/>
                <w:szCs w:val="20"/>
              </w:rPr>
              <w:t xml:space="preserve">Performance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Efficiency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878A2" w14:textId="3D806EEB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Meets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Best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8A7AF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Right-sized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scalable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components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used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06A" w:rsidRPr="00FA206A" w14:paraId="4C31991B" w14:textId="77777777" w:rsidTr="000B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757AC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Cost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Optimization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B0107" w14:textId="484914E1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Meets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Best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Practices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35570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Cost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models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used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; lean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infrastructure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setup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5CB7E79" w14:textId="328FD422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0ABF9D62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3.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Detailed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Review</w:t>
      </w:r>
      <w:proofErr w:type="spellEnd"/>
    </w:p>
    <w:p w14:paraId="74057FA1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3.1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Excellence</w:t>
      </w:r>
      <w:proofErr w:type="spellEnd"/>
    </w:p>
    <w:p w14:paraId="11FE4B30" w14:textId="77777777" w:rsidR="00FA206A" w:rsidRPr="00FA206A" w:rsidRDefault="00FA206A" w:rsidP="00FA206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Strengths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6397221D" w14:textId="77777777" w:rsidR="00FA206A" w:rsidRPr="00FA206A" w:rsidRDefault="00FA206A" w:rsidP="00FA206A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CloudWatch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used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proactive </w:t>
      </w:r>
      <w:proofErr w:type="spellStart"/>
      <w:r w:rsidRPr="00FA206A">
        <w:rPr>
          <w:rFonts w:ascii="Arial" w:hAnsi="Arial" w:cs="Arial"/>
          <w:sz w:val="20"/>
          <w:szCs w:val="20"/>
        </w:rPr>
        <w:t>alerting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(CPU, RAM, disk).</w:t>
      </w:r>
    </w:p>
    <w:p w14:paraId="38049CC9" w14:textId="77777777" w:rsidR="00FA206A" w:rsidRPr="00FA206A" w:rsidRDefault="00FA206A" w:rsidP="00FA206A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CloudTrail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logs are active </w:t>
      </w:r>
      <w:proofErr w:type="spellStart"/>
      <w:r w:rsidRPr="00FA206A">
        <w:rPr>
          <w:rFonts w:ascii="Arial" w:hAnsi="Arial" w:cs="Arial"/>
          <w:sz w:val="20"/>
          <w:szCs w:val="20"/>
        </w:rPr>
        <w:t>across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regions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23FF943A" w14:textId="77777777" w:rsidR="00FA206A" w:rsidRPr="00FA206A" w:rsidRDefault="00FA206A" w:rsidP="00FA206A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Sessions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held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with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client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training and </w:t>
      </w:r>
      <w:proofErr w:type="spellStart"/>
      <w:r w:rsidRPr="00FA206A">
        <w:rPr>
          <w:rFonts w:ascii="Arial" w:hAnsi="Arial" w:cs="Arial"/>
          <w:sz w:val="20"/>
          <w:szCs w:val="20"/>
        </w:rPr>
        <w:t>knowledge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transfer.</w:t>
      </w:r>
    </w:p>
    <w:p w14:paraId="1EE63A4E" w14:textId="77777777" w:rsidR="00FA206A" w:rsidRPr="00FA206A" w:rsidRDefault="00FA206A" w:rsidP="00FA206A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lastRenderedPageBreak/>
        <w:t xml:space="preserve">Use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QA/test </w:t>
      </w:r>
      <w:proofErr w:type="spellStart"/>
      <w:r w:rsidRPr="00FA206A">
        <w:rPr>
          <w:rFonts w:ascii="Arial" w:hAnsi="Arial" w:cs="Arial"/>
          <w:sz w:val="20"/>
          <w:szCs w:val="20"/>
        </w:rPr>
        <w:t>environments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validation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release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testing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015795E3" w14:textId="77777777" w:rsidR="00FA206A" w:rsidRPr="00FA206A" w:rsidRDefault="00FA206A" w:rsidP="00FA206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181DC6E3" w14:textId="77777777" w:rsidR="00FA206A" w:rsidRPr="00FA206A" w:rsidRDefault="00FA206A" w:rsidP="00FA206A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Implement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versioned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runbooks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maintenance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incident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response.</w:t>
      </w:r>
    </w:p>
    <w:p w14:paraId="4963A664" w14:textId="77777777" w:rsidR="00FA206A" w:rsidRPr="00FA206A" w:rsidRDefault="00FA206A" w:rsidP="00FA206A">
      <w:pPr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Introduce </w:t>
      </w:r>
      <w:proofErr w:type="spellStart"/>
      <w:r w:rsidRPr="00FA206A">
        <w:rPr>
          <w:rFonts w:ascii="Arial" w:hAnsi="Arial" w:cs="Arial"/>
          <w:sz w:val="20"/>
          <w:szCs w:val="20"/>
        </w:rPr>
        <w:t>automation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patch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application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A206A">
        <w:rPr>
          <w:rFonts w:ascii="Arial" w:hAnsi="Arial" w:cs="Arial"/>
          <w:sz w:val="20"/>
          <w:szCs w:val="20"/>
        </w:rPr>
        <w:t>not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just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scanning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0EF32AF4" w14:textId="52C9ED33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21C37B8E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>3.2 Security</w:t>
      </w:r>
    </w:p>
    <w:p w14:paraId="6367B0CE" w14:textId="77777777" w:rsidR="00FA206A" w:rsidRPr="00FA206A" w:rsidRDefault="00FA206A" w:rsidP="00FA206A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Strengths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1BF6ADD9" w14:textId="77777777" w:rsidR="00FA206A" w:rsidRPr="00FA206A" w:rsidRDefault="00FA206A" w:rsidP="00FA206A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IAM roles </w:t>
      </w:r>
      <w:proofErr w:type="spellStart"/>
      <w:r w:rsidRPr="00FA206A">
        <w:rPr>
          <w:rFonts w:ascii="Arial" w:hAnsi="Arial" w:cs="Arial"/>
          <w:sz w:val="20"/>
          <w:szCs w:val="20"/>
        </w:rPr>
        <w:t>follow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least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privilege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model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61781D98" w14:textId="77777777" w:rsidR="00FA206A" w:rsidRPr="00FA206A" w:rsidRDefault="00FA206A" w:rsidP="00FA206A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Root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user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access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protected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by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MFA.</w:t>
      </w:r>
    </w:p>
    <w:p w14:paraId="58144029" w14:textId="77777777" w:rsidR="00FA206A" w:rsidRPr="00FA206A" w:rsidRDefault="00FA206A" w:rsidP="00FA206A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SSL/TLS </w:t>
      </w:r>
      <w:proofErr w:type="spellStart"/>
      <w:r w:rsidRPr="00FA206A">
        <w:rPr>
          <w:rFonts w:ascii="Arial" w:hAnsi="Arial" w:cs="Arial"/>
          <w:sz w:val="20"/>
          <w:szCs w:val="20"/>
        </w:rPr>
        <w:t>configured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via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FA206A">
        <w:rPr>
          <w:rFonts w:ascii="Arial" w:hAnsi="Arial" w:cs="Arial"/>
          <w:sz w:val="20"/>
          <w:szCs w:val="20"/>
        </w:rPr>
        <w:t>Certificate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Manager.</w:t>
      </w:r>
    </w:p>
    <w:p w14:paraId="1BEE4CF9" w14:textId="77777777" w:rsidR="00FA206A" w:rsidRPr="00FA206A" w:rsidRDefault="00FA206A" w:rsidP="00FA206A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IAM </w:t>
      </w:r>
      <w:proofErr w:type="spellStart"/>
      <w:r w:rsidRPr="00FA206A">
        <w:rPr>
          <w:rFonts w:ascii="Arial" w:hAnsi="Arial" w:cs="Arial"/>
          <w:sz w:val="20"/>
          <w:szCs w:val="20"/>
        </w:rPr>
        <w:t>policies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segregate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admin</w:t>
      </w:r>
      <w:proofErr w:type="spellEnd"/>
      <w:r w:rsidRPr="00FA206A">
        <w:rPr>
          <w:rFonts w:ascii="Arial" w:hAnsi="Arial" w:cs="Arial"/>
          <w:sz w:val="20"/>
          <w:szCs w:val="20"/>
        </w:rPr>
        <w:t>/</w:t>
      </w:r>
      <w:proofErr w:type="spellStart"/>
      <w:r w:rsidRPr="00FA206A">
        <w:rPr>
          <w:rFonts w:ascii="Arial" w:hAnsi="Arial" w:cs="Arial"/>
          <w:sz w:val="20"/>
          <w:szCs w:val="20"/>
        </w:rPr>
        <w:t>dev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/test </w:t>
      </w:r>
      <w:proofErr w:type="spellStart"/>
      <w:r w:rsidRPr="00FA206A">
        <w:rPr>
          <w:rFonts w:ascii="Arial" w:hAnsi="Arial" w:cs="Arial"/>
          <w:sz w:val="20"/>
          <w:szCs w:val="20"/>
        </w:rPr>
        <w:t>access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effectively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200BAB66" w14:textId="77777777" w:rsidR="00FA206A" w:rsidRPr="00FA206A" w:rsidRDefault="00FA206A" w:rsidP="00FA206A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7ABB31B5" w14:textId="77777777" w:rsidR="00FA206A" w:rsidRPr="00FA206A" w:rsidRDefault="00FA206A" w:rsidP="00FA206A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Enable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FA206A">
        <w:rPr>
          <w:rFonts w:ascii="Arial" w:hAnsi="Arial" w:cs="Arial"/>
          <w:sz w:val="20"/>
          <w:szCs w:val="20"/>
        </w:rPr>
        <w:t>Config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deeper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compliance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audit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trail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tracking.</w:t>
      </w:r>
    </w:p>
    <w:p w14:paraId="7A6EDBCB" w14:textId="77777777" w:rsidR="00FA206A" w:rsidRPr="00FA206A" w:rsidRDefault="00FA206A" w:rsidP="00FA206A">
      <w:pPr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Rotate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IAM </w:t>
      </w:r>
      <w:proofErr w:type="spellStart"/>
      <w:r w:rsidRPr="00FA206A">
        <w:rPr>
          <w:rFonts w:ascii="Arial" w:hAnsi="Arial" w:cs="Arial"/>
          <w:sz w:val="20"/>
          <w:szCs w:val="20"/>
        </w:rPr>
        <w:t>credentials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regularly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A206A">
        <w:rPr>
          <w:rFonts w:ascii="Arial" w:hAnsi="Arial" w:cs="Arial"/>
          <w:sz w:val="20"/>
          <w:szCs w:val="20"/>
        </w:rPr>
        <w:t>automated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reminders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tooling</w:t>
      </w:r>
      <w:proofErr w:type="spellEnd"/>
      <w:r w:rsidRPr="00FA206A">
        <w:rPr>
          <w:rFonts w:ascii="Arial" w:hAnsi="Arial" w:cs="Arial"/>
          <w:sz w:val="20"/>
          <w:szCs w:val="20"/>
        </w:rPr>
        <w:t>).</w:t>
      </w:r>
    </w:p>
    <w:p w14:paraId="09F30272" w14:textId="279D96FE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4AB18117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3.3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Reliability</w:t>
      </w:r>
      <w:proofErr w:type="spellEnd"/>
    </w:p>
    <w:p w14:paraId="16B2399B" w14:textId="77777777" w:rsidR="00FA206A" w:rsidRPr="00FA206A" w:rsidRDefault="00FA206A" w:rsidP="00FA206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Strengths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4E58B883" w14:textId="77777777" w:rsidR="00FA206A" w:rsidRPr="00FA206A" w:rsidRDefault="00FA206A" w:rsidP="00FA206A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Automated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backups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via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FA206A">
        <w:rPr>
          <w:rFonts w:ascii="Arial" w:hAnsi="Arial" w:cs="Arial"/>
          <w:sz w:val="20"/>
          <w:szCs w:val="20"/>
        </w:rPr>
        <w:t>Backup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with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defined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RTO (2h) and RPO (24h).</w:t>
      </w:r>
    </w:p>
    <w:p w14:paraId="3CAB6530" w14:textId="77777777" w:rsidR="00FA206A" w:rsidRPr="00FA206A" w:rsidRDefault="00FA206A" w:rsidP="00FA206A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FA206A">
        <w:rPr>
          <w:rFonts w:ascii="Arial" w:hAnsi="Arial" w:cs="Arial"/>
          <w:sz w:val="20"/>
          <w:szCs w:val="20"/>
        </w:rPr>
        <w:t>strategy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exists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is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aligned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with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client's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needs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1655B5FC" w14:textId="77777777" w:rsidR="00FA206A" w:rsidRPr="00FA206A" w:rsidRDefault="00FA206A" w:rsidP="00FA206A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Infrastructure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provisioned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via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Terraform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A206A">
        <w:rPr>
          <w:rFonts w:ascii="Arial" w:hAnsi="Arial" w:cs="Arial"/>
          <w:sz w:val="20"/>
          <w:szCs w:val="20"/>
        </w:rPr>
        <w:t>ensuring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consistent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redeployment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71334C53" w14:textId="77777777" w:rsidR="00FA206A" w:rsidRPr="00FA206A" w:rsidRDefault="00FA206A" w:rsidP="00FA206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Concerns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58040CCE" w14:textId="77777777" w:rsidR="00FA206A" w:rsidRPr="00FA206A" w:rsidRDefault="00FA206A" w:rsidP="00FA206A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r w:rsidRPr="00FA206A">
        <w:rPr>
          <w:rFonts w:ascii="Arial" w:hAnsi="Arial" w:cs="Arial"/>
          <w:b/>
          <w:bCs/>
          <w:sz w:val="20"/>
          <w:szCs w:val="20"/>
        </w:rPr>
        <w:t xml:space="preserve">a </w:t>
      </w:r>
      <w:proofErr w:type="gramStart"/>
      <w:r w:rsidRPr="00FA206A">
        <w:rPr>
          <w:rFonts w:ascii="Arial" w:hAnsi="Arial" w:cs="Arial"/>
          <w:b/>
          <w:bCs/>
          <w:sz w:val="20"/>
          <w:szCs w:val="20"/>
        </w:rPr>
        <w:t>single</w:t>
      </w:r>
      <w:proofErr w:type="gram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Zone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limits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fault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tolerance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high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availability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2E6C1008" w14:textId="77777777" w:rsidR="00FA206A" w:rsidRPr="00FA206A" w:rsidRDefault="00FA206A" w:rsidP="00FA206A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FA206A">
        <w:rPr>
          <w:rFonts w:ascii="Arial" w:hAnsi="Arial" w:cs="Arial"/>
          <w:sz w:val="20"/>
          <w:szCs w:val="20"/>
        </w:rPr>
        <w:t>mention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multi-region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replication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cross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-AZ </w:t>
      </w:r>
      <w:proofErr w:type="spellStart"/>
      <w:r w:rsidRPr="00FA206A">
        <w:rPr>
          <w:rFonts w:ascii="Arial" w:hAnsi="Arial" w:cs="Arial"/>
          <w:sz w:val="20"/>
          <w:szCs w:val="20"/>
        </w:rPr>
        <w:t>failover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02AFCA8B" w14:textId="77777777" w:rsidR="00FA206A" w:rsidRPr="00FA206A" w:rsidRDefault="00FA206A" w:rsidP="00FA206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2CF9DC7C" w14:textId="77777777" w:rsidR="00FA206A" w:rsidRPr="00FA206A" w:rsidRDefault="00FA206A" w:rsidP="00FA206A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Consider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 Multi-AZ </w:t>
      </w:r>
      <w:proofErr w:type="spellStart"/>
      <w:r w:rsidRPr="00FA206A">
        <w:rPr>
          <w:rFonts w:ascii="Arial" w:hAnsi="Arial" w:cs="Arial"/>
          <w:sz w:val="20"/>
          <w:szCs w:val="20"/>
        </w:rPr>
        <w:t>deployment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RDS and EC2 </w:t>
      </w:r>
      <w:proofErr w:type="spellStart"/>
      <w:r w:rsidRPr="00FA206A">
        <w:rPr>
          <w:rFonts w:ascii="Arial" w:hAnsi="Arial" w:cs="Arial"/>
          <w:sz w:val="20"/>
          <w:szCs w:val="20"/>
        </w:rPr>
        <w:t>if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SLA </w:t>
      </w:r>
      <w:proofErr w:type="spellStart"/>
      <w:r w:rsidRPr="00FA206A">
        <w:rPr>
          <w:rFonts w:ascii="Arial" w:hAnsi="Arial" w:cs="Arial"/>
          <w:sz w:val="20"/>
          <w:szCs w:val="20"/>
        </w:rPr>
        <w:t>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customer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demand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increases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088C5E6A" w14:textId="77777777" w:rsidR="00FA206A" w:rsidRPr="00FA206A" w:rsidRDefault="00FA206A" w:rsidP="00FA206A">
      <w:pPr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Document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incident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response </w:t>
      </w:r>
      <w:proofErr w:type="spellStart"/>
      <w:r w:rsidRPr="00FA206A">
        <w:rPr>
          <w:rFonts w:ascii="Arial" w:hAnsi="Arial" w:cs="Arial"/>
          <w:sz w:val="20"/>
          <w:szCs w:val="20"/>
        </w:rPr>
        <w:t>procedures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event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AZ </w:t>
      </w:r>
      <w:proofErr w:type="spellStart"/>
      <w:r w:rsidRPr="00FA206A">
        <w:rPr>
          <w:rFonts w:ascii="Arial" w:hAnsi="Arial" w:cs="Arial"/>
          <w:sz w:val="20"/>
          <w:szCs w:val="20"/>
        </w:rPr>
        <w:t>outages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0C0EB911" w14:textId="63B66377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2BDE6944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3.4 Performance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Efficiency</w:t>
      </w:r>
      <w:proofErr w:type="spellEnd"/>
    </w:p>
    <w:p w14:paraId="0E791000" w14:textId="77777777" w:rsidR="00FA206A" w:rsidRPr="00FA206A" w:rsidRDefault="00FA206A" w:rsidP="00FA206A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Strengths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55678F9D" w14:textId="77777777" w:rsidR="00FA206A" w:rsidRPr="00FA206A" w:rsidRDefault="00FA206A" w:rsidP="00FA206A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EC2 and RDS </w:t>
      </w:r>
      <w:proofErr w:type="spellStart"/>
      <w:r w:rsidRPr="00FA206A">
        <w:rPr>
          <w:rFonts w:ascii="Arial" w:hAnsi="Arial" w:cs="Arial"/>
          <w:sz w:val="20"/>
          <w:szCs w:val="20"/>
        </w:rPr>
        <w:t>instance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types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FA206A">
        <w:rPr>
          <w:rFonts w:ascii="Arial" w:hAnsi="Arial" w:cs="Arial"/>
          <w:sz w:val="20"/>
          <w:szCs w:val="20"/>
        </w:rPr>
        <w:t>appropriate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workload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size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(t</w:t>
      </w:r>
      <w:proofErr w:type="gramStart"/>
      <w:r w:rsidRPr="00FA206A">
        <w:rPr>
          <w:rFonts w:ascii="Arial" w:hAnsi="Arial" w:cs="Arial"/>
          <w:sz w:val="20"/>
          <w:szCs w:val="20"/>
        </w:rPr>
        <w:t>3.medium</w:t>
      </w:r>
      <w:proofErr w:type="gramEnd"/>
      <w:r w:rsidRPr="00FA206A">
        <w:rPr>
          <w:rFonts w:ascii="Arial" w:hAnsi="Arial" w:cs="Arial"/>
          <w:sz w:val="20"/>
          <w:szCs w:val="20"/>
        </w:rPr>
        <w:t>).</w:t>
      </w:r>
    </w:p>
    <w:p w14:paraId="00FD5C0C" w14:textId="77777777" w:rsidR="00FA206A" w:rsidRPr="00FA206A" w:rsidRDefault="00FA206A" w:rsidP="00FA206A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lastRenderedPageBreak/>
        <w:t>CloudWatch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metrics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used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to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FA206A">
        <w:rPr>
          <w:rFonts w:ascii="Arial" w:hAnsi="Arial" w:cs="Arial"/>
          <w:sz w:val="20"/>
          <w:szCs w:val="20"/>
        </w:rPr>
        <w:t>resource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sizing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12C0DBF4" w14:textId="77777777" w:rsidR="00FA206A" w:rsidRPr="00FA206A" w:rsidRDefault="00FA206A" w:rsidP="00FA206A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Application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layer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uses IIS </w:t>
      </w:r>
      <w:proofErr w:type="spellStart"/>
      <w:r w:rsidRPr="00FA206A">
        <w:rPr>
          <w:rFonts w:ascii="Arial" w:hAnsi="Arial" w:cs="Arial"/>
          <w:sz w:val="20"/>
          <w:szCs w:val="20"/>
        </w:rPr>
        <w:t>with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appropriate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EBS </w:t>
      </w:r>
      <w:proofErr w:type="spellStart"/>
      <w:r w:rsidRPr="00FA206A">
        <w:rPr>
          <w:rFonts w:ascii="Arial" w:hAnsi="Arial" w:cs="Arial"/>
          <w:sz w:val="20"/>
          <w:szCs w:val="20"/>
        </w:rPr>
        <w:t>backing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volumes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0BC2DDD6" w14:textId="77777777" w:rsidR="00FA206A" w:rsidRPr="00FA206A" w:rsidRDefault="00FA206A" w:rsidP="00FA206A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4DC51094" w14:textId="77777777" w:rsidR="00FA206A" w:rsidRPr="00FA206A" w:rsidRDefault="00FA206A" w:rsidP="00FA206A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Evaluate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Auto </w:t>
      </w:r>
      <w:proofErr w:type="spellStart"/>
      <w:r w:rsidRPr="00FA206A">
        <w:rPr>
          <w:rFonts w:ascii="Arial" w:hAnsi="Arial" w:cs="Arial"/>
          <w:sz w:val="20"/>
          <w:szCs w:val="20"/>
        </w:rPr>
        <w:t>Scaling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Groups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A206A">
        <w:rPr>
          <w:rFonts w:ascii="Arial" w:hAnsi="Arial" w:cs="Arial"/>
          <w:sz w:val="20"/>
          <w:szCs w:val="20"/>
        </w:rPr>
        <w:t>ASGs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FA206A">
        <w:rPr>
          <w:rFonts w:ascii="Arial" w:hAnsi="Arial" w:cs="Arial"/>
          <w:sz w:val="20"/>
          <w:szCs w:val="20"/>
        </w:rPr>
        <w:t>tier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redundancy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traffic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increases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1C19D7F2" w14:textId="77777777" w:rsidR="00FA206A" w:rsidRPr="00FA206A" w:rsidRDefault="00FA206A" w:rsidP="00FA206A">
      <w:pPr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Consider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Amazon </w:t>
      </w:r>
      <w:proofErr w:type="spellStart"/>
      <w:r w:rsidRPr="00FA206A">
        <w:rPr>
          <w:rFonts w:ascii="Arial" w:hAnsi="Arial" w:cs="Arial"/>
          <w:sz w:val="20"/>
          <w:szCs w:val="20"/>
        </w:rPr>
        <w:t>CloudFront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public-facing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FA206A">
        <w:rPr>
          <w:rFonts w:ascii="Arial" w:hAnsi="Arial" w:cs="Arial"/>
          <w:sz w:val="20"/>
          <w:szCs w:val="20"/>
        </w:rPr>
        <w:t>access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expands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267E165D" w14:textId="6712BA39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4E2CB125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3.5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Optimization</w:t>
      </w:r>
      <w:proofErr w:type="spellEnd"/>
    </w:p>
    <w:p w14:paraId="2394BD99" w14:textId="77777777" w:rsidR="00FA206A" w:rsidRPr="00FA206A" w:rsidRDefault="00FA206A" w:rsidP="00FA206A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Strengths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1C3A524D" w14:textId="77777777" w:rsidR="00FA206A" w:rsidRPr="00FA206A" w:rsidRDefault="00FA206A" w:rsidP="00FA206A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AWS </w:t>
      </w:r>
      <w:proofErr w:type="spellStart"/>
      <w:r w:rsidRPr="00FA206A">
        <w:rPr>
          <w:rFonts w:ascii="Arial" w:hAnsi="Arial" w:cs="Arial"/>
          <w:sz w:val="20"/>
          <w:szCs w:val="20"/>
        </w:rPr>
        <w:t>Pricing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Calculator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used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to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model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TCO </w:t>
      </w:r>
      <w:proofErr w:type="spellStart"/>
      <w:r w:rsidRPr="00FA206A">
        <w:rPr>
          <w:rFonts w:ascii="Arial" w:hAnsi="Arial" w:cs="Arial"/>
          <w:sz w:val="20"/>
          <w:szCs w:val="20"/>
        </w:rPr>
        <w:t>before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deployment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047424E6" w14:textId="77777777" w:rsidR="00FA206A" w:rsidRPr="00FA206A" w:rsidRDefault="00FA206A" w:rsidP="00FA206A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Deployment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strategy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FA206A">
        <w:rPr>
          <w:rFonts w:ascii="Arial" w:hAnsi="Arial" w:cs="Arial"/>
          <w:sz w:val="20"/>
          <w:szCs w:val="20"/>
        </w:rPr>
        <w:t>single</w:t>
      </w:r>
      <w:proofErr w:type="gramEnd"/>
      <w:r w:rsidRPr="00FA206A">
        <w:rPr>
          <w:rFonts w:ascii="Arial" w:hAnsi="Arial" w:cs="Arial"/>
          <w:sz w:val="20"/>
          <w:szCs w:val="20"/>
        </w:rPr>
        <w:t xml:space="preserve"> AZ, </w:t>
      </w:r>
      <w:proofErr w:type="spellStart"/>
      <w:r w:rsidRPr="00FA206A">
        <w:rPr>
          <w:rFonts w:ascii="Arial" w:hAnsi="Arial" w:cs="Arial"/>
          <w:sz w:val="20"/>
          <w:szCs w:val="20"/>
        </w:rPr>
        <w:t>minimal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instances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A206A">
        <w:rPr>
          <w:rFonts w:ascii="Arial" w:hAnsi="Arial" w:cs="Arial"/>
          <w:sz w:val="20"/>
          <w:szCs w:val="20"/>
        </w:rPr>
        <w:t>meets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budget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constraints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76B8459F" w14:textId="77777777" w:rsidR="00FA206A" w:rsidRPr="00FA206A" w:rsidRDefault="00FA206A" w:rsidP="00FA206A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Terraform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enables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consistent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decommissioning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unused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resources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1653DC33" w14:textId="77777777" w:rsidR="00FA206A" w:rsidRPr="00FA206A" w:rsidRDefault="00FA206A" w:rsidP="00FA206A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  <w:r w:rsidRPr="00FA206A">
        <w:rPr>
          <w:rFonts w:ascii="Arial" w:hAnsi="Arial" w:cs="Arial"/>
          <w:sz w:val="20"/>
          <w:szCs w:val="20"/>
        </w:rPr>
        <w:t>:</w:t>
      </w:r>
    </w:p>
    <w:p w14:paraId="2A3358AF" w14:textId="77777777" w:rsidR="00FA206A" w:rsidRPr="00FA206A" w:rsidRDefault="00FA206A" w:rsidP="00FA206A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Implement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budget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alerts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via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FA206A">
        <w:rPr>
          <w:rFonts w:ascii="Arial" w:hAnsi="Arial" w:cs="Arial"/>
          <w:sz w:val="20"/>
          <w:szCs w:val="20"/>
        </w:rPr>
        <w:t>Budgets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0EDE0858" w14:textId="77777777" w:rsidR="00FA206A" w:rsidRPr="00FA206A" w:rsidRDefault="00FA206A" w:rsidP="00FA206A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Review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Reserved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Instances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Savings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Plans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based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usage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after 3–6 </w:t>
      </w:r>
      <w:proofErr w:type="spellStart"/>
      <w:r w:rsidRPr="00FA206A">
        <w:rPr>
          <w:rFonts w:ascii="Arial" w:hAnsi="Arial" w:cs="Arial"/>
          <w:sz w:val="20"/>
          <w:szCs w:val="20"/>
        </w:rPr>
        <w:t>months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76F2D87B" w14:textId="547F0F6C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5D67CF95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4.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Compliance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Alignment</w:t>
      </w:r>
      <w:proofErr w:type="spellEnd"/>
    </w:p>
    <w:p w14:paraId="72936C5B" w14:textId="77777777" w:rsidR="00FA206A" w:rsidRPr="00FA206A" w:rsidRDefault="00FA206A" w:rsidP="00FA206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IAM roles and </w:t>
      </w:r>
      <w:proofErr w:type="spellStart"/>
      <w:proofErr w:type="gramStart"/>
      <w:r w:rsidRPr="00FA206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policies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align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with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AWS and </w:t>
      </w:r>
      <w:proofErr w:type="spellStart"/>
      <w:r w:rsidRPr="00FA206A">
        <w:rPr>
          <w:rFonts w:ascii="Arial" w:hAnsi="Arial" w:cs="Arial"/>
          <w:sz w:val="20"/>
          <w:szCs w:val="20"/>
        </w:rPr>
        <w:t>client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requirements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1CB0C81C" w14:textId="77777777" w:rsidR="00FA206A" w:rsidRPr="00FA206A" w:rsidRDefault="00FA206A" w:rsidP="00FA206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Logging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A206A">
        <w:rPr>
          <w:rFonts w:ascii="Arial" w:hAnsi="Arial" w:cs="Arial"/>
          <w:sz w:val="20"/>
          <w:szCs w:val="20"/>
        </w:rPr>
        <w:t>CloudTrail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A206A">
        <w:rPr>
          <w:rFonts w:ascii="Arial" w:hAnsi="Arial" w:cs="Arial"/>
          <w:sz w:val="20"/>
          <w:szCs w:val="20"/>
        </w:rPr>
        <w:t>CloudWatch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A206A">
        <w:rPr>
          <w:rFonts w:ascii="Arial" w:hAnsi="Arial" w:cs="Arial"/>
          <w:sz w:val="20"/>
          <w:szCs w:val="20"/>
        </w:rPr>
        <w:t>supports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security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audits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44F9A720" w14:textId="77777777" w:rsidR="00FA206A" w:rsidRPr="00FA206A" w:rsidRDefault="00FA206A" w:rsidP="00FA206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A206A">
        <w:rPr>
          <w:rFonts w:ascii="Arial" w:hAnsi="Arial" w:cs="Arial"/>
          <w:sz w:val="20"/>
          <w:szCs w:val="20"/>
        </w:rPr>
        <w:t xml:space="preserve">Data </w:t>
      </w:r>
      <w:proofErr w:type="spellStart"/>
      <w:r w:rsidRPr="00FA206A">
        <w:rPr>
          <w:rFonts w:ascii="Arial" w:hAnsi="Arial" w:cs="Arial"/>
          <w:sz w:val="20"/>
          <w:szCs w:val="20"/>
        </w:rPr>
        <w:t>encryption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FA206A">
        <w:rPr>
          <w:rFonts w:ascii="Arial" w:hAnsi="Arial" w:cs="Arial"/>
          <w:sz w:val="20"/>
          <w:szCs w:val="20"/>
        </w:rPr>
        <w:t>rest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in </w:t>
      </w:r>
      <w:proofErr w:type="spellStart"/>
      <w:r w:rsidRPr="00FA206A">
        <w:rPr>
          <w:rFonts w:ascii="Arial" w:hAnsi="Arial" w:cs="Arial"/>
          <w:sz w:val="20"/>
          <w:szCs w:val="20"/>
        </w:rPr>
        <w:t>transit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enforced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using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AWS-</w:t>
      </w:r>
      <w:proofErr w:type="spellStart"/>
      <w:r w:rsidRPr="00FA206A">
        <w:rPr>
          <w:rFonts w:ascii="Arial" w:hAnsi="Arial" w:cs="Arial"/>
          <w:sz w:val="20"/>
          <w:szCs w:val="20"/>
        </w:rPr>
        <w:t>managed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keys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388D3F02" w14:textId="77777777" w:rsidR="00FA206A" w:rsidRPr="00FA206A" w:rsidRDefault="00FA206A" w:rsidP="00FA206A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Backup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DR </w:t>
      </w:r>
      <w:proofErr w:type="spellStart"/>
      <w:r w:rsidRPr="00FA206A">
        <w:rPr>
          <w:rFonts w:ascii="Arial" w:hAnsi="Arial" w:cs="Arial"/>
          <w:sz w:val="20"/>
          <w:szCs w:val="20"/>
        </w:rPr>
        <w:t>planning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well-documented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1DB6F50A" w14:textId="297F7F99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0EE334C9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5.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Risks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Mitigation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Strategies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792"/>
        <w:gridCol w:w="4557"/>
      </w:tblGrid>
      <w:tr w:rsidR="00FA206A" w:rsidRPr="00FA206A" w14:paraId="1EF0AFE1" w14:textId="77777777" w:rsidTr="00696C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CC6AE" w14:textId="77777777" w:rsidR="00FA206A" w:rsidRPr="00FA206A" w:rsidRDefault="00FA206A" w:rsidP="00FA20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EDBE1" w14:textId="77777777" w:rsidR="00FA206A" w:rsidRPr="00FA206A" w:rsidRDefault="00FA206A" w:rsidP="00FA20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5F1FA" w14:textId="77777777" w:rsidR="00FA206A" w:rsidRPr="00FA206A" w:rsidRDefault="00FA206A" w:rsidP="00FA206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  <w:proofErr w:type="spellEnd"/>
          </w:p>
        </w:tc>
      </w:tr>
      <w:tr w:rsidR="00FA206A" w:rsidRPr="00FA206A" w14:paraId="1A573AA6" w14:textId="77777777" w:rsidTr="00696C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1D17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A206A">
              <w:rPr>
                <w:rFonts w:ascii="Arial" w:hAnsi="Arial" w:cs="Arial"/>
                <w:sz w:val="20"/>
                <w:szCs w:val="20"/>
              </w:rPr>
              <w:t>Single</w:t>
            </w:r>
            <w:proofErr w:type="gramEnd"/>
            <w:r w:rsidRPr="00FA206A">
              <w:rPr>
                <w:rFonts w:ascii="Arial" w:hAnsi="Arial" w:cs="Arial"/>
                <w:sz w:val="20"/>
                <w:szCs w:val="20"/>
              </w:rPr>
              <w:t xml:space="preserve">-AZ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0B75F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r w:rsidRPr="00FA206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A7A44E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Evaluate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cost-benefit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Multi-AZ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deployments</w:t>
            </w:r>
            <w:proofErr w:type="spellEnd"/>
          </w:p>
        </w:tc>
      </w:tr>
      <w:tr w:rsidR="00FA206A" w:rsidRPr="00FA206A" w14:paraId="1977BCA8" w14:textId="77777777" w:rsidTr="00696C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C4E1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r w:rsidRPr="00FA206A">
              <w:rPr>
                <w:rFonts w:ascii="Arial" w:hAnsi="Arial" w:cs="Arial"/>
                <w:sz w:val="20"/>
                <w:szCs w:val="20"/>
              </w:rPr>
              <w:t xml:space="preserve">Manual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Deployment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AA5A8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r w:rsidRPr="00FA206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9D20788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Automate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installation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after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scan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approval</w:t>
            </w:r>
            <w:proofErr w:type="spellEnd"/>
          </w:p>
        </w:tc>
      </w:tr>
      <w:tr w:rsidR="00FA206A" w:rsidRPr="00FA206A" w14:paraId="1AD4D1E7" w14:textId="77777777" w:rsidTr="00696C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411D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r w:rsidRPr="00FA206A"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Config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Conformance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Packs</w:t>
            </w:r>
          </w:p>
        </w:tc>
        <w:tc>
          <w:tcPr>
            <w:tcW w:w="0" w:type="auto"/>
            <w:vAlign w:val="center"/>
            <w:hideMark/>
          </w:tcPr>
          <w:p w14:paraId="4307C555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r w:rsidRPr="00FA206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C2A38E1" w14:textId="77777777" w:rsidR="00FA206A" w:rsidRPr="00FA206A" w:rsidRDefault="00FA206A" w:rsidP="00FA20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Deploy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AWS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Config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deeper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compliance</w:t>
            </w:r>
            <w:proofErr w:type="spellEnd"/>
            <w:r w:rsidRPr="00FA2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206A">
              <w:rPr>
                <w:rFonts w:ascii="Arial" w:hAnsi="Arial" w:cs="Arial"/>
                <w:sz w:val="20"/>
                <w:szCs w:val="20"/>
              </w:rPr>
              <w:t>checks</w:t>
            </w:r>
            <w:proofErr w:type="spellEnd"/>
          </w:p>
        </w:tc>
      </w:tr>
    </w:tbl>
    <w:p w14:paraId="71854D4D" w14:textId="1B4ED080" w:rsid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01453981" w14:textId="77777777" w:rsidR="000B7BF8" w:rsidRDefault="000B7BF8" w:rsidP="00FA206A">
      <w:pPr>
        <w:rPr>
          <w:rFonts w:ascii="Arial" w:hAnsi="Arial" w:cs="Arial"/>
          <w:sz w:val="20"/>
          <w:szCs w:val="20"/>
        </w:rPr>
      </w:pPr>
    </w:p>
    <w:p w14:paraId="5A300F32" w14:textId="77777777" w:rsidR="000B7BF8" w:rsidRPr="00FA206A" w:rsidRDefault="000B7BF8" w:rsidP="00FA206A">
      <w:pPr>
        <w:rPr>
          <w:rFonts w:ascii="Arial" w:hAnsi="Arial" w:cs="Arial"/>
          <w:sz w:val="20"/>
          <w:szCs w:val="20"/>
        </w:rPr>
      </w:pPr>
    </w:p>
    <w:p w14:paraId="21F380A1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lastRenderedPageBreak/>
        <w:t xml:space="preserve">6. Final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Verdict</w:t>
      </w:r>
      <w:proofErr w:type="spellEnd"/>
    </w:p>
    <w:p w14:paraId="159A6B7F" w14:textId="77777777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solution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Infinity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Gifts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Souvenirs has </w:t>
      </w:r>
      <w:proofErr w:type="spellStart"/>
      <w:r w:rsidRPr="00FA206A">
        <w:rPr>
          <w:rFonts w:ascii="Arial" w:hAnsi="Arial" w:cs="Arial"/>
          <w:sz w:val="20"/>
          <w:szCs w:val="20"/>
        </w:rPr>
        <w:t>been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well-architected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meets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necessary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security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, and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cost-efficiency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its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current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scale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needs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FA206A">
        <w:rPr>
          <w:rFonts w:ascii="Arial" w:hAnsi="Arial" w:cs="Arial"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Terraform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IAM, </w:t>
      </w:r>
      <w:proofErr w:type="spellStart"/>
      <w:r w:rsidRPr="00FA206A">
        <w:rPr>
          <w:rFonts w:ascii="Arial" w:hAnsi="Arial" w:cs="Arial"/>
          <w:sz w:val="20"/>
          <w:szCs w:val="20"/>
        </w:rPr>
        <w:t>encryption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FA206A">
        <w:rPr>
          <w:rFonts w:ascii="Arial" w:hAnsi="Arial" w:cs="Arial"/>
          <w:sz w:val="20"/>
          <w:szCs w:val="20"/>
        </w:rPr>
        <w:t>CloudWatch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ensures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the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environment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is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manageable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secure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A206A">
        <w:rPr>
          <w:rFonts w:ascii="Arial" w:hAnsi="Arial" w:cs="Arial"/>
          <w:sz w:val="20"/>
          <w:szCs w:val="20"/>
        </w:rPr>
        <w:t>However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A206A">
        <w:rPr>
          <w:rFonts w:ascii="Arial" w:hAnsi="Arial" w:cs="Arial"/>
          <w:sz w:val="20"/>
          <w:szCs w:val="20"/>
        </w:rPr>
        <w:t>to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prepare </w:t>
      </w:r>
      <w:proofErr w:type="spellStart"/>
      <w:r w:rsidRPr="00FA206A">
        <w:rPr>
          <w:rFonts w:ascii="Arial" w:hAnsi="Arial" w:cs="Arial"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future </w:t>
      </w:r>
      <w:proofErr w:type="spellStart"/>
      <w:r w:rsidRPr="00FA206A">
        <w:rPr>
          <w:rFonts w:ascii="Arial" w:hAnsi="Arial" w:cs="Arial"/>
          <w:sz w:val="20"/>
          <w:szCs w:val="20"/>
        </w:rPr>
        <w:t>growth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sz w:val="20"/>
          <w:szCs w:val="20"/>
        </w:rPr>
        <w:t>risk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reduction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, </w:t>
      </w:r>
      <w:r w:rsidRPr="00FA206A">
        <w:rPr>
          <w:rFonts w:ascii="Arial" w:hAnsi="Arial" w:cs="Arial"/>
          <w:b/>
          <w:bCs/>
          <w:sz w:val="20"/>
          <w:szCs w:val="20"/>
        </w:rPr>
        <w:t xml:space="preserve">multi-AZ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failover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automation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routine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tasks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should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FA206A">
        <w:rPr>
          <w:rFonts w:ascii="Arial" w:hAnsi="Arial" w:cs="Arial"/>
          <w:sz w:val="20"/>
          <w:szCs w:val="20"/>
        </w:rPr>
        <w:t>planned</w:t>
      </w:r>
      <w:proofErr w:type="spellEnd"/>
      <w:r w:rsidRPr="00FA206A">
        <w:rPr>
          <w:rFonts w:ascii="Arial" w:hAnsi="Arial" w:cs="Arial"/>
          <w:sz w:val="20"/>
          <w:szCs w:val="20"/>
        </w:rPr>
        <w:t>.</w:t>
      </w:r>
    </w:p>
    <w:p w14:paraId="601A93CB" w14:textId="00C3E8D4" w:rsidR="00FA206A" w:rsidRPr="00FA206A" w:rsidRDefault="00FA206A" w:rsidP="00FA206A">
      <w:pPr>
        <w:rPr>
          <w:rFonts w:ascii="Arial" w:hAnsi="Arial" w:cs="Arial"/>
          <w:sz w:val="20"/>
          <w:szCs w:val="20"/>
        </w:rPr>
      </w:pPr>
    </w:p>
    <w:p w14:paraId="76A4B679" w14:textId="77777777" w:rsidR="00FA206A" w:rsidRPr="00FA206A" w:rsidRDefault="00FA206A" w:rsidP="00FA206A">
      <w:pPr>
        <w:rPr>
          <w:rFonts w:ascii="Arial" w:hAnsi="Arial" w:cs="Arial"/>
          <w:b/>
          <w:bCs/>
          <w:sz w:val="20"/>
          <w:szCs w:val="20"/>
        </w:rPr>
      </w:pPr>
      <w:r w:rsidRPr="00FA206A">
        <w:rPr>
          <w:rFonts w:ascii="Arial" w:hAnsi="Arial" w:cs="Arial"/>
          <w:b/>
          <w:bCs/>
          <w:sz w:val="20"/>
          <w:szCs w:val="20"/>
        </w:rPr>
        <w:t xml:space="preserve">7.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Reviewer’s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Notes</w:t>
      </w:r>
    </w:p>
    <w:p w14:paraId="27F93718" w14:textId="03FD4D86" w:rsidR="00FA206A" w:rsidRPr="00FA206A" w:rsidRDefault="00FA206A" w:rsidP="00FA206A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Overall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Readiness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Production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Yes</w:t>
      </w:r>
    </w:p>
    <w:p w14:paraId="1EC3665E" w14:textId="77777777" w:rsidR="00FA206A" w:rsidRPr="00FA206A" w:rsidRDefault="00FA206A" w:rsidP="00FA206A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Recommended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Improvements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Priority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Moderate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(non-</w:t>
      </w:r>
      <w:proofErr w:type="spellStart"/>
      <w:r w:rsidRPr="00FA206A">
        <w:rPr>
          <w:rFonts w:ascii="Arial" w:hAnsi="Arial" w:cs="Arial"/>
          <w:sz w:val="20"/>
          <w:szCs w:val="20"/>
        </w:rPr>
        <w:t>blocking</w:t>
      </w:r>
      <w:proofErr w:type="spellEnd"/>
      <w:r w:rsidRPr="00FA206A">
        <w:rPr>
          <w:rFonts w:ascii="Arial" w:hAnsi="Arial" w:cs="Arial"/>
          <w:sz w:val="20"/>
          <w:szCs w:val="20"/>
        </w:rPr>
        <w:t>)</w:t>
      </w:r>
    </w:p>
    <w:p w14:paraId="493AE509" w14:textId="77777777" w:rsidR="00FA206A" w:rsidRPr="00FA206A" w:rsidRDefault="00FA206A" w:rsidP="00FA206A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Re-review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b/>
          <w:bCs/>
          <w:sz w:val="20"/>
          <w:szCs w:val="20"/>
        </w:rPr>
        <w:t>Suggested</w:t>
      </w:r>
      <w:proofErr w:type="spellEnd"/>
      <w:r w:rsidRPr="00FA206A">
        <w:rPr>
          <w:rFonts w:ascii="Arial" w:hAnsi="Arial" w:cs="Arial"/>
          <w:b/>
          <w:bCs/>
          <w:sz w:val="20"/>
          <w:szCs w:val="20"/>
        </w:rPr>
        <w:t>:</w:t>
      </w:r>
      <w:r w:rsidRPr="00FA206A">
        <w:rPr>
          <w:rFonts w:ascii="Arial" w:hAnsi="Arial" w:cs="Arial"/>
          <w:sz w:val="20"/>
          <w:szCs w:val="20"/>
        </w:rPr>
        <w:t xml:space="preserve"> In 6–12 </w:t>
      </w:r>
      <w:proofErr w:type="spellStart"/>
      <w:r w:rsidRPr="00FA206A">
        <w:rPr>
          <w:rFonts w:ascii="Arial" w:hAnsi="Arial" w:cs="Arial"/>
          <w:sz w:val="20"/>
          <w:szCs w:val="20"/>
        </w:rPr>
        <w:t>months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post </w:t>
      </w:r>
      <w:proofErr w:type="spellStart"/>
      <w:r w:rsidRPr="00FA206A">
        <w:rPr>
          <w:rFonts w:ascii="Arial" w:hAnsi="Arial" w:cs="Arial"/>
          <w:sz w:val="20"/>
          <w:szCs w:val="20"/>
        </w:rPr>
        <w:t>go-live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or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after </w:t>
      </w:r>
      <w:proofErr w:type="spellStart"/>
      <w:r w:rsidRPr="00FA206A">
        <w:rPr>
          <w:rFonts w:ascii="Arial" w:hAnsi="Arial" w:cs="Arial"/>
          <w:sz w:val="20"/>
          <w:szCs w:val="20"/>
        </w:rPr>
        <w:t>significant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scale</w:t>
      </w:r>
      <w:proofErr w:type="spellEnd"/>
      <w:r w:rsidRPr="00FA206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206A">
        <w:rPr>
          <w:rFonts w:ascii="Arial" w:hAnsi="Arial" w:cs="Arial"/>
          <w:sz w:val="20"/>
          <w:szCs w:val="20"/>
        </w:rPr>
        <w:t>change</w:t>
      </w:r>
      <w:proofErr w:type="spellEnd"/>
    </w:p>
    <w:p w14:paraId="505CE3F0" w14:textId="77777777" w:rsidR="00FA206A" w:rsidRPr="00FA206A" w:rsidRDefault="00FA206A" w:rsidP="000E62D9">
      <w:pPr>
        <w:rPr>
          <w:rFonts w:ascii="Arial" w:hAnsi="Arial" w:cs="Arial"/>
          <w:sz w:val="20"/>
          <w:szCs w:val="20"/>
        </w:rPr>
      </w:pPr>
    </w:p>
    <w:sectPr w:rsidR="00FA206A" w:rsidRPr="00FA206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0D5F0" w14:textId="77777777" w:rsidR="008A3BF8" w:rsidRDefault="008A3BF8" w:rsidP="008A3BF8">
      <w:pPr>
        <w:spacing w:after="0" w:line="240" w:lineRule="auto"/>
      </w:pPr>
      <w:r>
        <w:separator/>
      </w:r>
    </w:p>
  </w:endnote>
  <w:endnote w:type="continuationSeparator" w:id="0">
    <w:p w14:paraId="5CDA8DF9" w14:textId="77777777" w:rsidR="008A3BF8" w:rsidRDefault="008A3BF8" w:rsidP="008A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CF67E" w14:textId="77777777" w:rsidR="008A3BF8" w:rsidRDefault="008A3BF8" w:rsidP="008A3BF8">
      <w:pPr>
        <w:spacing w:after="0" w:line="240" w:lineRule="auto"/>
      </w:pPr>
      <w:r>
        <w:separator/>
      </w:r>
    </w:p>
  </w:footnote>
  <w:footnote w:type="continuationSeparator" w:id="0">
    <w:p w14:paraId="691DCA94" w14:textId="77777777" w:rsidR="008A3BF8" w:rsidRDefault="008A3BF8" w:rsidP="008A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68681" w14:textId="239C01C1" w:rsidR="008A3BF8" w:rsidRPr="000B7BF8" w:rsidRDefault="000B7BF8" w:rsidP="000B7BF8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C2EAEC6" wp14:editId="32FC1BD6">
          <wp:simplePos x="0" y="0"/>
          <wp:positionH relativeFrom="margin">
            <wp:align>right</wp:align>
          </wp:positionH>
          <wp:positionV relativeFrom="paragraph">
            <wp:posOffset>-38735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9601F8B" wp14:editId="69007FF9">
          <wp:simplePos x="0" y="0"/>
          <wp:positionH relativeFrom="margin">
            <wp:posOffset>0</wp:posOffset>
          </wp:positionH>
          <wp:positionV relativeFrom="paragraph">
            <wp:posOffset>10795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0A5E"/>
    <w:multiLevelType w:val="multilevel"/>
    <w:tmpl w:val="B010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883"/>
    <w:multiLevelType w:val="multilevel"/>
    <w:tmpl w:val="50D4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0E2"/>
    <w:multiLevelType w:val="multilevel"/>
    <w:tmpl w:val="A53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956D4"/>
    <w:multiLevelType w:val="multilevel"/>
    <w:tmpl w:val="8778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B6030"/>
    <w:multiLevelType w:val="multilevel"/>
    <w:tmpl w:val="BE5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46198"/>
    <w:multiLevelType w:val="multilevel"/>
    <w:tmpl w:val="B70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671D6"/>
    <w:multiLevelType w:val="multilevel"/>
    <w:tmpl w:val="CA90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543AC"/>
    <w:multiLevelType w:val="multilevel"/>
    <w:tmpl w:val="CF0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171A5"/>
    <w:multiLevelType w:val="multilevel"/>
    <w:tmpl w:val="2FB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91B53"/>
    <w:multiLevelType w:val="multilevel"/>
    <w:tmpl w:val="E17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879C4"/>
    <w:multiLevelType w:val="multilevel"/>
    <w:tmpl w:val="6B1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C43E1"/>
    <w:multiLevelType w:val="multilevel"/>
    <w:tmpl w:val="C6A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B504A"/>
    <w:multiLevelType w:val="multilevel"/>
    <w:tmpl w:val="FFE2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739962">
    <w:abstractNumId w:val="4"/>
  </w:num>
  <w:num w:numId="2" w16cid:durableId="1293513748">
    <w:abstractNumId w:val="1"/>
  </w:num>
  <w:num w:numId="3" w16cid:durableId="648442251">
    <w:abstractNumId w:val="10"/>
  </w:num>
  <w:num w:numId="4" w16cid:durableId="2006784571">
    <w:abstractNumId w:val="5"/>
  </w:num>
  <w:num w:numId="5" w16cid:durableId="1815950945">
    <w:abstractNumId w:val="2"/>
  </w:num>
  <w:num w:numId="6" w16cid:durableId="1106804047">
    <w:abstractNumId w:val="9"/>
  </w:num>
  <w:num w:numId="7" w16cid:durableId="1668901781">
    <w:abstractNumId w:val="0"/>
  </w:num>
  <w:num w:numId="8" w16cid:durableId="720401227">
    <w:abstractNumId w:val="12"/>
  </w:num>
  <w:num w:numId="9" w16cid:durableId="125851859">
    <w:abstractNumId w:val="6"/>
  </w:num>
  <w:num w:numId="10" w16cid:durableId="1152020657">
    <w:abstractNumId w:val="7"/>
  </w:num>
  <w:num w:numId="11" w16cid:durableId="1519193090">
    <w:abstractNumId w:val="3"/>
  </w:num>
  <w:num w:numId="12" w16cid:durableId="389428161">
    <w:abstractNumId w:val="8"/>
  </w:num>
  <w:num w:numId="13" w16cid:durableId="2553590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9"/>
    <w:rsid w:val="000B7BF8"/>
    <w:rsid w:val="000E62D9"/>
    <w:rsid w:val="00361875"/>
    <w:rsid w:val="00462336"/>
    <w:rsid w:val="005376DA"/>
    <w:rsid w:val="00696C7E"/>
    <w:rsid w:val="0089173A"/>
    <w:rsid w:val="008A3BF8"/>
    <w:rsid w:val="008E7A39"/>
    <w:rsid w:val="00CC4CD0"/>
    <w:rsid w:val="00F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F9ADF32"/>
  <w15:chartTrackingRefBased/>
  <w15:docId w15:val="{7ED8B8B5-60EE-4514-A73E-D2DF54F0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2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2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2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2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2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2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2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2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2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2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2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3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BF8"/>
  </w:style>
  <w:style w:type="paragraph" w:styleId="Piedepgina">
    <w:name w:val="footer"/>
    <w:basedOn w:val="Normal"/>
    <w:link w:val="PiedepginaCar"/>
    <w:uiPriority w:val="99"/>
    <w:unhideWhenUsed/>
    <w:rsid w:val="008A3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687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</cp:revision>
  <dcterms:created xsi:type="dcterms:W3CDTF">2025-06-03T18:19:00Z</dcterms:created>
  <dcterms:modified xsi:type="dcterms:W3CDTF">2025-07-29T22:30:00Z</dcterms:modified>
</cp:coreProperties>
</file>