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低信噪比符号信号选择中的伪赢家过滤来自美国股票横截面与公开基准的证据"/>
    <w:p>
      <w:pPr>
        <w:pStyle w:val="Heading1"/>
      </w:pPr>
      <w:r>
        <w:t xml:space="preserve">低信噪比符号信号选择中的伪赢家过滤：来自美国股票横截面与公开基准的证据</w:t>
      </w:r>
    </w:p>
    <w:p>
      <w:pPr>
        <w:pStyle w:val="FirstParagraph"/>
      </w:pPr>
      <w:r>
        <w:t xml:space="preserve">作者：待填写</w:t>
      </w:r>
      <w:r>
        <w:br/>
      </w:r>
      <w:r>
        <w:t xml:space="preserve">单位：待填写</w:t>
      </w:r>
      <w:r>
        <w:br/>
      </w:r>
      <w:r>
        <w:t xml:space="preserve">联系方式：待填写</w:t>
      </w:r>
    </w:p>
    <w:bookmarkStart w:id="20" w:name="摘要"/>
    <w:p>
      <w:pPr>
        <w:pStyle w:val="Heading2"/>
      </w:pPr>
      <w:r>
        <w:t xml:space="preserve">摘要</w:t>
      </w:r>
    </w:p>
    <w:p>
      <w:pPr>
        <w:pStyle w:val="FirstParagraph"/>
      </w:pPr>
      <w:r>
        <w:t xml:space="preserve">本文研究低信噪比符号搜索中的信号选择问题。对于美国股票横截面这类高噪声对象，真正困难的环节往往不是继续扩大表达式生成空间，而是如何在大量结构相近、验证分数接近、却在未来表现显著分化的候选中识别出可存活的信号。单次验证、单一随机种子或单一评价指标都容易把局部极值误判为可持续结构，从而制造</w:t>
      </w:r>
      <w:r>
        <w:t xml:space="preserve">“</w:t>
      </w:r>
      <w:r>
        <w:t xml:space="preserve">看起来极强、实际不可交易</w:t>
      </w:r>
      <w:r>
        <w:t xml:space="preserve">”</w:t>
      </w:r>
      <w:r>
        <w:t xml:space="preserve">的显著性幻觉。本文据此将研究重心从</w:t>
      </w:r>
      <w:r>
        <w:t xml:space="preserve">“</w:t>
      </w:r>
      <w:r>
        <w:t xml:space="preserve">再发现一个更复杂的表达式</w:t>
      </w:r>
      <w:r>
        <w:t xml:space="preserve">”</w:t>
      </w:r>
      <w:r>
        <w:t xml:space="preserve">转向</w:t>
      </w:r>
      <w:r>
        <w:t xml:space="preserve">“</w:t>
      </w:r>
      <w:r>
        <w:t xml:space="preserve">如何降低选择阶段方差并系统过滤伪赢家</w:t>
      </w:r>
      <w:r>
        <w:t xml:space="preserve">”</w:t>
      </w:r>
      <w:r>
        <w:t xml:space="preserve">。</w:t>
      </w:r>
    </w:p>
    <w:p>
      <w:pPr>
        <w:pStyle w:val="BodyText"/>
      </w:pPr>
      <w:r>
        <w:t xml:space="preserve">围绕这一问题，本文提出一套两阶段稳定性协议。第一阶段在单个随机种子内，将验证期划分为多个连续时间片，对候选信号的平均 rank-IC、最差时间片表现、分片波动、分片 Sharpe、年化收益、稳定性分数、换手和复杂度进行联合评估；第二阶段在跨随机种子层面，将冠军支持、选择支持、候选支持与平均排序位置整合为共识分数，并在截断 shortlist 上实施条件 MCS 代理，以避免将后验最优解误写成唯一正确答案。参数校准不直接追逐局部收益，而是通过滚动元验证最大化前后半段排序一致性，并对信号衰减与换手进行惩罚。</w:t>
      </w:r>
    </w:p>
    <w:p>
      <w:pPr>
        <w:pStyle w:val="BodyText"/>
      </w:pPr>
      <w:r>
        <w:t xml:space="preserve">在纯测试期（</w:t>
      </w:r>
      <w:r>
        <w:rPr>
          <w:rStyle w:val="VerbatimChar"/>
        </w:rPr>
        <w:t xml:space="preserve">2019-01-02</w:t>
      </w:r>
      <w:r>
        <w:t xml:space="preserve"> </w:t>
      </w:r>
      <w:r>
        <w:t xml:space="preserve">至</w:t>
      </w:r>
      <w:r>
        <w:t xml:space="preserve"> </w:t>
      </w:r>
      <w:r>
        <w:rPr>
          <w:rStyle w:val="VerbatimChar"/>
        </w:rPr>
        <w:t xml:space="preserve">2025-12-30</w:t>
      </w:r>
      <w:r>
        <w:t xml:space="preserve">）上，</w:t>
      </w:r>
      <w:r>
        <w:rPr>
          <w:rStyle w:val="VerbatimChar"/>
        </w:rPr>
        <w:t xml:space="preserve">liquid500</w:t>
      </w:r>
      <w:r>
        <w:t xml:space="preserve"> </w:t>
      </w:r>
      <w:r>
        <w:t xml:space="preserve">与</w:t>
      </w:r>
      <w:r>
        <w:t xml:space="preserve"> </w:t>
      </w:r>
      <w:r>
        <w:rPr>
          <w:rStyle w:val="VerbatimChar"/>
        </w:rPr>
        <w:t xml:space="preserve">liquid1000</w:t>
      </w:r>
      <w:r>
        <w:t xml:space="preserve"> </w:t>
      </w:r>
      <w:r>
        <w:t xml:space="preserve">两个投资宇宙最终都收敛到同一条典型信号：</w:t>
      </w:r>
      <w:r>
        <w:rPr>
          <w:rStyle w:val="VerbatimChar"/>
        </w:rPr>
        <w:t xml:space="preserve">CASH_RATIO_Q RANK PROFITABILITY_Q RANK ADD</w:t>
      </w:r>
      <w:r>
        <w:t xml:space="preserve">。若按市值加权口径评估，其 Gross Sharpe 分别达到</w:t>
      </w:r>
      <w:r>
        <w:t xml:space="preserve"> </w:t>
      </w:r>
      <w:r>
        <w:rPr>
          <w:rStyle w:val="VerbatimChar"/>
        </w:rPr>
        <w:t xml:space="preserve">0.7829</w:t>
      </w:r>
      <w:r>
        <w:t xml:space="preserve"> </w:t>
      </w:r>
      <w:r>
        <w:t xml:space="preserve">与</w:t>
      </w:r>
      <w:r>
        <w:t xml:space="preserve"> </w:t>
      </w:r>
      <w:r>
        <w:rPr>
          <w:rStyle w:val="VerbatimChar"/>
        </w:rPr>
        <w:t xml:space="preserve">0.7955</w:t>
      </w:r>
      <w:r>
        <w:t xml:space="preserve">，年化 FF5 alpha 分别为</w:t>
      </w:r>
      <w:r>
        <w:t xml:space="preserve"> </w:t>
      </w:r>
      <w:r>
        <w:rPr>
          <w:rStyle w:val="VerbatimChar"/>
        </w:rPr>
        <w:t xml:space="preserve">4.73%</w:t>
      </w:r>
      <w:r>
        <w:t xml:space="preserve"> </w:t>
      </w:r>
      <w:r>
        <w:t xml:space="preserve">与</w:t>
      </w:r>
      <w:r>
        <w:t xml:space="preserve"> </w:t>
      </w:r>
      <w:r>
        <w:rPr>
          <w:rStyle w:val="VerbatimChar"/>
        </w:rPr>
        <w:t xml:space="preserve">4.51%</w:t>
      </w:r>
      <w:r>
        <w:t xml:space="preserve">。更关键的是，主信号并未依赖微盘尾部样本支撑：双重排序显示其净表现主要集中在中大盘组合，而小盘组的五因子调整后 alpha 反而转弱。与之相对，</w:t>
      </w:r>
      <w:r>
        <w:rPr>
          <w:rStyle w:val="VerbatimChar"/>
        </w:rPr>
        <w:t xml:space="preserve">liquid1000</w:t>
      </w:r>
      <w:r>
        <w:t xml:space="preserve"> </w:t>
      </w:r>
      <w:r>
        <w:t xml:space="preserve">上</w:t>
      </w:r>
      <w:r>
        <w:t xml:space="preserve"> </w:t>
      </w:r>
      <w:r>
        <w:rPr>
          <w:rStyle w:val="VerbatimChar"/>
        </w:rPr>
        <w:t xml:space="preserve">naive rank-IC</w:t>
      </w:r>
      <w:r>
        <w:t xml:space="preserve"> </w:t>
      </w:r>
      <w:r>
        <w:t xml:space="preserve">选出的</w:t>
      </w:r>
      <w:r>
        <w:t xml:space="preserve"> </w:t>
      </w:r>
      <w:r>
        <w:rPr>
          <w:rStyle w:val="VerbatimChar"/>
        </w:rPr>
        <w:t xml:space="preserve">LEVERAGE_Q CASH_RATIO_Q ADD PROFITABILITY_A CORR_5</w:t>
      </w:r>
      <w:r>
        <w:t xml:space="preserve"> </w:t>
      </w:r>
      <w:r>
        <w:t xml:space="preserve">虽曾在未熔断口径下表现出极端高 Sharpe，但其非空覆盖率仅</w:t>
      </w:r>
      <w:r>
        <w:t xml:space="preserve"> </w:t>
      </w:r>
      <w:r>
        <w:rPr>
          <w:rStyle w:val="VerbatimChar"/>
        </w:rPr>
        <w:t xml:space="preserve">0.000253</w:t>
      </w:r>
      <w:r>
        <w:t xml:space="preserve">、每日中位有效股票数仅</w:t>
      </w:r>
      <w:r>
        <w:t xml:space="preserve"> </w:t>
      </w:r>
      <w:r>
        <w:rPr>
          <w:rStyle w:val="VerbatimChar"/>
        </w:rPr>
        <w:t xml:space="preserve">1</w:t>
      </w:r>
      <w:r>
        <w:t xml:space="preserve">，在统一多空熔断规则下可交易日占比直接降为</w:t>
      </w:r>
      <w:r>
        <w:t xml:space="preserve"> </w:t>
      </w:r>
      <w:r>
        <w:rPr>
          <w:rStyle w:val="VerbatimChar"/>
        </w:rPr>
        <w:t xml:space="preserve">0</w:t>
      </w:r>
      <w:r>
        <w:t xml:space="preserve">。这说明问题不在于</w:t>
      </w:r>
      <w:r>
        <w:t xml:space="preserve">“</w:t>
      </w:r>
      <w:r>
        <w:t xml:space="preserve">策略稍弱</w:t>
      </w:r>
      <w:r>
        <w:t xml:space="preserve">”</w:t>
      </w:r>
      <w:r>
        <w:t xml:space="preserve">，而在于该解根本不满足与正文主方法同口径的多空可交易条件。</w:t>
      </w:r>
    </w:p>
    <w:p>
      <w:pPr>
        <w:pStyle w:val="BodyText"/>
      </w:pPr>
      <w:r>
        <w:t xml:space="preserve">本文的贡献据此界定为三点。第一，提出一套面向低信噪比符号空间的可复现稳定性协议，用于降低选择阶段方差，而不是放大验证极值。第二，通过覆盖度熔断、近邻簇诊断、双重排序、条件 VIX 检验与 MCS 代理，建立了系统识别稀疏伪赢家的经验约束。第三，在公开 benchmark 上给出一套强调稳定性而非单纯 headline accuracy 的比较框架。全文的核心结论不是发现了统计上显著的新因子，而是表明在真实金融横截面里，可信的选择器应当优先避免灾难性过拟合，并在强 alpha 稀缺时保守地收敛到具有经济学常识与交易可行性的防御型结构。</w:t>
      </w:r>
    </w:p>
    <w:p>
      <w:pPr>
        <w:pStyle w:val="BodyText"/>
      </w:pPr>
      <w:r>
        <w:t xml:space="preserve">关键词：符号信号；横截面预测；稳定性选择；数据窥探；前向滚动验证；模型置信集</w:t>
      </w:r>
    </w:p>
    <w:bookmarkEnd w:id="20"/>
    <w:bookmarkStart w:id="21" w:name="引言"/>
    <w:p>
      <w:pPr>
        <w:pStyle w:val="Heading2"/>
      </w:pPr>
      <w:r>
        <w:t xml:space="preserve">1. 引言</w:t>
      </w:r>
    </w:p>
    <w:p>
      <w:pPr>
        <w:pStyle w:val="FirstParagraph"/>
      </w:pPr>
      <w:r>
        <w:t xml:space="preserve">近年来，金融符号搜索快速发展。相比传统因子研究依赖人工提出并逐条检验候选结构，符号搜索试图在预设特征库与算子库上自动组合表达式，从而以更低的人力成本枚举更大规模的经济假设空间。问题在于，表达式空间越大，验证极值越不可信。对于美国股票横截面这类低信噪比对象，许多看似优异的候选往往只是噪声、局部覆盖率异常、样本切片偶然重合或随机种子扰动的产物。研究者如果只报告最终最好的一个数字，往往就会把本应被淘汰的偶然赢家包装成</w:t>
      </w:r>
      <w:r>
        <w:t xml:space="preserve">“</w:t>
      </w:r>
      <w:r>
        <w:t xml:space="preserve">新信号</w:t>
      </w:r>
      <w:r>
        <w:t xml:space="preserve">”</w:t>
      </w:r>
      <w:r>
        <w:t xml:space="preserve">。</w:t>
      </w:r>
    </w:p>
    <w:p>
      <w:pPr>
        <w:pStyle w:val="BodyText"/>
      </w:pPr>
      <w:r>
        <w:t xml:space="preserve">从这个角度看，符号搜索真正稀缺的不是生成器继续吐出更多公式，而是如何在同一生成空间内建立更稳健的筛选协议。给定同一批底层特征和相近的语法约束，候选表达式经常形成一簇高度同源的近邻结构：它们共享相似构件，在验证期上分数接近，却可能在真实前向滚动中呈现完全不同的命运。有的表达式在极少数日期与极少数股票上暴涨，制造出惊人的 Sharpe；有的表达式在单一随机种子中看似可靠，却无法跨时间和跨种子复现。若选择器缺少对时间漂移、近邻共线与覆盖度异常的约束，搜索规模越大，过拟合的风险反而越高。</w:t>
      </w:r>
    </w:p>
    <w:p>
      <w:pPr>
        <w:pStyle w:val="BodyText"/>
      </w:pPr>
      <w:r>
        <w:t xml:space="preserve">本文据此收缩研究目标。我们不把贡献定义为</w:t>
      </w:r>
      <w:r>
        <w:t xml:space="preserve">“</w:t>
      </w:r>
      <w:r>
        <w:t xml:space="preserve">再提出一个更复杂的生成架构</w:t>
      </w:r>
      <w:r>
        <w:t xml:space="preserve">”</w:t>
      </w:r>
      <w:r>
        <w:t xml:space="preserve">，也不把注意力放在</w:t>
      </w:r>
      <w:r>
        <w:t xml:space="preserve">“</w:t>
      </w:r>
      <w:r>
        <w:t xml:space="preserve">找到一个统计上显著的新定价因子</w:t>
      </w:r>
      <w:r>
        <w:t xml:space="preserve">”</w:t>
      </w:r>
      <w:r>
        <w:t xml:space="preserve">上。本文研究的问题更窄也更现实：在巨大的符号候选池中，如何利用时间分片稳定性与跨随机种子共识，降低选择阶段方差，并阻止系统把局部极值误判为可持续信号。换言之，本文聚焦的是一个选择问题，而不是一个生成问题；是一个防止伪赢家进入主文证据链的问题，而不是一个追求 headline Sharpe 的问题。</w:t>
      </w:r>
    </w:p>
    <w:p>
      <w:pPr>
        <w:pStyle w:val="BodyText"/>
      </w:pPr>
      <w:r>
        <w:t xml:space="preserve">围绕这一目标，本文提出两阶段稳定性协议。第一阶段在单个随机种子内，用时间分片表现、最差分片、分片波动、换手和复杂度对候选进行稳健排序。第二阶段在跨随机种子层面，以冠军支持、选择支持和候选支持形成共识，再在截断 shortlist 上实施条件 MCS 代理，检验典型信号是否至少位于</w:t>
      </w:r>
      <w:r>
        <w:t xml:space="preserve">“</w:t>
      </w:r>
      <w:r>
        <w:t xml:space="preserve">无法被剔除</w:t>
      </w:r>
      <w:r>
        <w:t xml:space="preserve">”</w:t>
      </w:r>
      <w:r>
        <w:t xml:space="preserve">的集合内。这样的设计并不试图证明某一条表达式是唯一真理，而是试图降低由单次验证与单次搜索路径带来的选择误差。</w:t>
      </w:r>
    </w:p>
    <w:p>
      <w:pPr>
        <w:pStyle w:val="BodyText"/>
      </w:pPr>
      <w:r>
        <w:t xml:space="preserve">美国股票横截面上的结果支持这一定位。纯测试期中，</w:t>
      </w:r>
      <w:r>
        <w:rPr>
          <w:rStyle w:val="VerbatimChar"/>
        </w:rPr>
        <w:t xml:space="preserve">liquid500</w:t>
      </w:r>
      <w:r>
        <w:t xml:space="preserve"> </w:t>
      </w:r>
      <w:r>
        <w:t xml:space="preserve">与</w:t>
      </w:r>
      <w:r>
        <w:t xml:space="preserve"> </w:t>
      </w:r>
      <w:r>
        <w:rPr>
          <w:rStyle w:val="VerbatimChar"/>
        </w:rPr>
        <w:t xml:space="preserve">liquid1000</w:t>
      </w:r>
      <w:r>
        <w:t xml:space="preserve"> </w:t>
      </w:r>
      <w:r>
        <w:t xml:space="preserve">最终都保留了</w:t>
      </w:r>
      <w:r>
        <w:t xml:space="preserve"> </w:t>
      </w:r>
      <w:r>
        <w:rPr>
          <w:rStyle w:val="VerbatimChar"/>
        </w:rPr>
        <w:t xml:space="preserve">CASH_RATIO_Q RANK PROFITABILITY_Q RANK ADD</w:t>
      </w:r>
      <w:r>
        <w:t xml:space="preserve"> </w:t>
      </w:r>
      <w:r>
        <w:t xml:space="preserve">这一简洁信号。按等权口径看，其统计显著性并不强；但按市值加权口径与双重排序口径看，该信号更像一种由中大盘主导的防御型质量结构，而不是依赖微盘尾部的噪声幻觉。更强的证据来自对伪赢家的剖解：在统一多空熔断规则下，若某个异常解根本无法在大多数交易日同时形成多头和空头，它就不应继续被称作</w:t>
      </w:r>
      <w:r>
        <w:t xml:space="preserve">“</w:t>
      </w:r>
      <w:r>
        <w:t xml:space="preserve">高 Sharpe 策略</w:t>
      </w:r>
      <w:r>
        <w:t xml:space="preserve">”</w:t>
      </w:r>
      <w:r>
        <w:t xml:space="preserve">。</w:t>
      </w:r>
    </w:p>
    <w:p>
      <w:pPr>
        <w:pStyle w:val="BodyText"/>
      </w:pPr>
      <w:r>
        <w:t xml:space="preserve">本文的边际价值因此不在于无中生有地制造强 alpha，而在于给出一套可以复现、可以审查、也可以失败的筛选协议。它的积极意义并不来自显著性神话，而来自对过拟合风险的主动控制。对当前越来越依赖大规模自动搜索的机器学习资产定价研究而言，这类</w:t>
      </w:r>
      <w:r>
        <w:t xml:space="preserve">“</w:t>
      </w:r>
      <w:r>
        <w:t xml:space="preserve">减方差与安全切断</w:t>
      </w:r>
      <w:r>
        <w:t xml:space="preserve">”</w:t>
      </w:r>
      <w:r>
        <w:t xml:space="preserve">机制可能比继续堆叠搜索算力更具现实必要性。</w:t>
      </w:r>
    </w:p>
    <w:bookmarkEnd w:id="21"/>
    <w:bookmarkStart w:id="22" w:name="文献综述与研究定位"/>
    <w:p>
      <w:pPr>
        <w:pStyle w:val="Heading2"/>
      </w:pPr>
      <w:r>
        <w:t xml:space="preserve">2. 文献综述与研究定位</w:t>
      </w:r>
    </w:p>
    <w:p>
      <w:pPr>
        <w:pStyle w:val="FirstParagraph"/>
      </w:pPr>
      <w:r>
        <w:t xml:space="preserve">第一类相关文献是金融符号搜索与语法约束生成。此类研究的共同目标，是在有限的基础特征与算子库上自动枚举、评估并筛选潜在的横截面预测结构。已有工作展示了强化学习、语法约束、记忆增强代理和 Transformer 等生成方法在表达式搜索中的潜力，也推动了符号搜索从手工因子工程走向自动化发现。然而，这类文献更强调如何生成更多候选、如何扩大表达式多样性，较少系统讨论在极低信噪比市场中，如何避免把局部最优和稀疏异常解误读为稳健信号。本文的立足点恰好在这里：生成器可以继续复杂化，但若选择器不稳健，扩大搜索空间只会进一步放大伪赢家问题。</w:t>
      </w:r>
    </w:p>
    <w:p>
      <w:pPr>
        <w:pStyle w:val="BodyText"/>
      </w:pPr>
      <w:r>
        <w:t xml:space="preserve">第二类文献是机器学习资产定价与大规模 alpha 检验。该类研究反复提醒我们，股票横截面中的强统计显著性并不容易获得，且大量看似优异的结果最终会被多重检验、样本分割、交易成本和数据窥探所侵蚀。Harvey、Liu 与 Zhu 关于因子挖掘的讨论，White 关于 data snooping 的现实检验，以及后续关于 thousands of alpha tests 的证据，都指向同一个事实：在高维搜索环境里，真正稀缺的是经得起样本外验证与经济约束的结构，而不是单次最优数字。本文与这条文献脉络相一致，只是把讨论对象从传统线性特征扩展到了高度非线性的符号表达式空间。</w:t>
      </w:r>
    </w:p>
    <w:p>
      <w:pPr>
        <w:pStyle w:val="BodyText"/>
      </w:pPr>
      <w:r>
        <w:t xml:space="preserve">第三类文献是稳定性选择、模型集与条件检验。Meinshausen 与 Bühlmann 的稳定性选择强调，在高维场景中，跨重抽样的一致性本身就是重要证据；Hansen、Lunde 与 Nason 的模型置信集则说明，当一组模型表现相近且无法轻易区分时，与其强行宣布唯一赢家，不如保留一个</w:t>
      </w:r>
      <w:r>
        <w:t xml:space="preserve">“</w:t>
      </w:r>
      <w:r>
        <w:t xml:space="preserve">无法被剔除</w:t>
      </w:r>
      <w:r>
        <w:t xml:space="preserve">”</w:t>
      </w:r>
      <w:r>
        <w:t xml:space="preserve">的集合。本文的方法与这些思想一脉相承，但也与其存在明显差异。首先，经典稳定性选择多在固定特征空间中讨论选择频率，而本文面对的是动态生成、结构同源且高度共线的符号表达式簇。其次，经典 MCS 面向给定模型集合，而本文必须先在巨大的表达式池中降维，才能在可计算的 shortlist 上实施条件检验。基于此，本文把 MCS 明确界定为启发式两步重抽样代理，而不是严格的筛选后推断。</w:t>
      </w:r>
    </w:p>
    <w:p>
      <w:pPr>
        <w:pStyle w:val="BodyText"/>
      </w:pPr>
      <w:r>
        <w:t xml:space="preserve">第四类文献是特征解释、稀疏选择与通用符号回归基线。LASSO、SHAP、静态 Pareto 以及默认均方误差目标下的 PySR 都代表了现实研究中常见的</w:t>
      </w:r>
      <w:r>
        <w:t xml:space="preserve">“</w:t>
      </w:r>
      <w:r>
        <w:t xml:space="preserve">先生成后筛选</w:t>
      </w:r>
      <w:r>
        <w:t xml:space="preserve">”</w:t>
      </w:r>
      <w:r>
        <w:t xml:space="preserve">方案。它们的价值在于提供透明、可复现且广泛可用的基线，但在本文面对的任务中也暴露出结构性局限。LASSO 与 SHAP 容易在高度同源的近邻簇内部偏向更简化的单项结构；默认 MSE 目标下的通用符号回归范式，则更容易被局部数值拟合牵引，而不是围绕横截面排序稳定性做约束。本文不是否定这些方法本身，而是把它们作为对照，说明在低信噪比金融截面上，选择器的稳定性约束往往比底层搜索器的表面复杂度更关键。</w:t>
      </w:r>
    </w:p>
    <w:p>
      <w:pPr>
        <w:pStyle w:val="BodyText"/>
      </w:pPr>
      <w:r>
        <w:t xml:space="preserve">据此，本文的研究定位可以概括为：在巨大且高度同源的符号空间中，构造一套工程上可实现、统计上尽可能克制、并能对伪赢家形成经验约束的选择协议。它既不声称替代经典统计推断，也不试图证明唯一真赢家存在；它更接近一种结构敏感的风险控制框架，用于限制自动搜索在金融横截面中的过度拟合冲动。</w:t>
      </w:r>
    </w:p>
    <w:bookmarkEnd w:id="22"/>
    <w:bookmarkStart w:id="26" w:name="方法"/>
    <w:p>
      <w:pPr>
        <w:pStyle w:val="Heading2"/>
      </w:pPr>
      <w:r>
        <w:t xml:space="preserve">3. 方法</w:t>
      </w:r>
    </w:p>
    <w:bookmarkStart w:id="23" w:name="问题定义"/>
    <w:p>
      <w:pPr>
        <w:pStyle w:val="Heading3"/>
      </w:pPr>
      <w:r>
        <w:t xml:space="preserve">3.1 问题定义</w:t>
      </w:r>
    </w:p>
    <w:p>
      <w:pPr>
        <w:pStyle w:val="FirstParagraph"/>
      </w:pPr>
      <w:r>
        <w:t xml:space="preserve">设环境序列为</w:t>
      </w:r>
      <w:r>
        <w:t xml:space="preserve"> </w:t>
      </w:r>
      <m:oMath>
        <m:r>
          <m:t>E</m:t>
        </m:r>
        <m:r>
          <m:rPr>
            <m:sty m:val="p"/>
          </m:rPr>
          <m:t>=</m:t>
        </m:r>
        <m:r>
          <m:rPr>
            <m:sty m:val="p"/>
          </m:rPr>
          <m:t>(</m:t>
        </m:r>
        <m:sSub>
          <m:e>
            <m:r>
              <m:t>e</m:t>
            </m:r>
          </m:e>
          <m:sub>
            <m:r>
              <m:t>1</m:t>
            </m:r>
          </m:sub>
        </m:sSub>
        <m:r>
          <m:rPr>
            <m:sty m:val="p"/>
          </m:rPr>
          <m:t>,</m:t>
        </m:r>
        <m:r>
          <m:rPr>
            <m:sty m:val="p"/>
          </m:rPr>
          <m:t>…</m:t>
        </m:r>
        <m:r>
          <m:rPr>
            <m:sty m:val="p"/>
          </m:rPr>
          <m:t>,</m:t>
        </m:r>
        <m:sSub>
          <m:e>
            <m:r>
              <m:t>e</m:t>
            </m:r>
          </m:e>
          <m:sub>
            <m:r>
              <m:t>T</m:t>
            </m:r>
          </m:sub>
        </m:sSub>
        <m:r>
          <m:rPr>
            <m:sty m:val="p"/>
          </m:rPr>
          <m:t>)</m:t>
        </m:r>
      </m:oMath>
      <w:r>
        <w:t xml:space="preserve">，随机种子集合为</w:t>
      </w:r>
      <w:r>
        <w:t xml:space="preserve"> </w:t>
      </w:r>
      <m:oMath>
        <m:r>
          <m:rPr>
            <m:sty m:val="p"/>
            <m:scr m:val="script"/>
          </m:rPr>
          <m:t>S</m:t>
        </m:r>
        <m:r>
          <m:rPr>
            <m:sty m:val="p"/>
          </m:rPr>
          <m:t>=</m:t>
        </m:r>
        <m:r>
          <m:rPr>
            <m:sty m:val="p"/>
          </m:rPr>
          <m:t>{</m:t>
        </m:r>
        <m:sSub>
          <m:e>
            <m:r>
              <m:t>s</m:t>
            </m:r>
          </m:e>
          <m:sub>
            <m:r>
              <m:t>1</m:t>
            </m:r>
          </m:sub>
        </m:sSub>
        <m:r>
          <m:rPr>
            <m:sty m:val="p"/>
          </m:rPr>
          <m:t>,</m:t>
        </m:r>
        <m:r>
          <m:rPr>
            <m:sty m:val="p"/>
          </m:rPr>
          <m:t>…</m:t>
        </m:r>
        <m:r>
          <m:rPr>
            <m:sty m:val="p"/>
          </m:rPr>
          <m:t>,</m:t>
        </m:r>
        <m:sSub>
          <m:e>
            <m:r>
              <m:t>s</m:t>
            </m:r>
          </m:e>
          <m:sub>
            <m:r>
              <m:t>n</m:t>
            </m:r>
          </m:sub>
        </m:sSub>
        <m:r>
          <m:rPr>
            <m:sty m:val="p"/>
          </m:rPr>
          <m:t>}</m:t>
        </m:r>
      </m:oMath>
      <w:r>
        <w:t xml:space="preserve">，候选信号集合为</w:t>
      </w:r>
      <w:r>
        <w:t xml:space="preserve"> </w:t>
      </w:r>
      <m:oMath>
        <m:r>
          <m:t>C</m:t>
        </m:r>
        <m:r>
          <m:rPr>
            <m:sty m:val="p"/>
          </m:rPr>
          <m:t>=</m:t>
        </m:r>
        <m:r>
          <m:rPr>
            <m:sty m:val="p"/>
          </m:rPr>
          <m:t>{</m:t>
        </m:r>
        <m:sSub>
          <m:e>
            <m:r>
              <m:t>c</m:t>
            </m:r>
          </m:e>
          <m:sub>
            <m:r>
              <m:t>1</m:t>
            </m:r>
          </m:sub>
        </m:sSub>
        <m:r>
          <m:rPr>
            <m:sty m:val="p"/>
          </m:rPr>
          <m:t>,</m:t>
        </m:r>
        <m:r>
          <m:rPr>
            <m:sty m:val="p"/>
          </m:rPr>
          <m:t>…</m:t>
        </m:r>
        <m:r>
          <m:rPr>
            <m:sty m:val="p"/>
          </m:rPr>
          <m:t>,</m:t>
        </m:r>
        <m:sSub>
          <m:e>
            <m:r>
              <m:t>c</m:t>
            </m:r>
          </m:e>
          <m:sub>
            <m:r>
              <m:t>m</m:t>
            </m:r>
          </m:sub>
        </m:sSub>
        <m:r>
          <m:rPr>
            <m:sty m:val="p"/>
          </m:rPr>
          <m:t>}</m:t>
        </m:r>
      </m:oMath>
      <w:r>
        <w:t xml:space="preserve">。本文关心的不是单次验证中的局部最优，而是在不同随机种子、不同时间片和真实测试期滚动中都能维持基本结构的信号：</w:t>
      </w:r>
    </w:p>
    <w:p>
      <w:pPr>
        <w:pStyle w:val="BodyText"/>
      </w:pPr>
      <w:r>
        <w:t xml:space="preserve">$$</w:t>
      </w:r>
    </w:p>
    <w:p>
      <w:pPr>
        <w:pStyle w:val="BodyText"/>
      </w:pPr>
      <w:r>
        <w:t xml:space="preserve">c^{</w:t>
      </w:r>
      <w:r>
        <w:t xml:space="preserve">}=</w:t>
      </w:r>
      <w:r>
        <w:rPr>
          <w:iCs/>
          <w:i/>
        </w:rPr>
        <w:t xml:space="preserve">{c</w:t>
      </w:r>
      <w:r>
        <w:rPr>
          <w:iCs/>
          <w:i/>
        </w:rPr>
        <w:t xml:space="preserve">C},</w:t>
      </w:r>
      <w:r>
        <w:t xml:space="preserve">{s</w:t>
      </w:r>
      <w:r>
        <w:t xml:space="preserve">}</w:t>
      </w:r>
      <w:r>
        <w:t xml:space="preserve">.</w:t>
      </w:r>
      <w:r>
        <w:t xml:space="preserve"> </w:t>
      </w:r>
      <w:r>
        <w:t xml:space="preserve">$$</w:t>
      </w:r>
    </w:p>
    <w:p>
      <w:pPr>
        <w:pStyle w:val="BodyText"/>
      </w:pPr>
      <w:r>
        <w:t xml:space="preserve">（1）</w:t>
      </w:r>
    </w:p>
    <w:p>
      <w:pPr>
        <w:pStyle w:val="BodyText"/>
      </w:pPr>
      <w:r>
        <w:t xml:space="preserve">这里的真实效用</w:t>
      </w:r>
      <w:r>
        <w:t xml:space="preserve"> </w:t>
      </w:r>
      <m:oMath>
        <m:r>
          <m:t>U</m:t>
        </m:r>
        <m:r>
          <m:rPr>
            <m:sty m:val="p"/>
          </m:rPr>
          <m:t>(</m:t>
        </m:r>
        <m:r>
          <m:rPr>
            <m:sty m:val="p"/>
          </m:rPr>
          <m:t>⋅</m:t>
        </m:r>
        <m:r>
          <m:rPr>
            <m:sty m:val="p"/>
          </m:rPr>
          <m:t>)</m:t>
        </m:r>
      </m:oMath>
      <w:r>
        <w:t xml:space="preserve"> </w:t>
      </w:r>
      <w:r>
        <w:t xml:space="preserve">不能直接在选择时观察。研究者能看到的只是验证期上的若干代理指标，而这些代理本身携带噪声与路径依赖。尤其在候选池很大时，简单取最大值会系统性地高估极端样本的可持续性。本文因此不直接把验证期最高分写成最终答案，而是先用时间稳健性约束单种子选择，再用跨随机种子共识对候选做第二次过滤。</w:t>
      </w:r>
    </w:p>
    <w:bookmarkEnd w:id="23"/>
    <w:bookmarkStart w:id="24" w:name="正文主方法两阶段稳定性选择协议"/>
    <w:p>
      <w:pPr>
        <w:pStyle w:val="Heading3"/>
      </w:pPr>
      <w:r>
        <w:t xml:space="preserve">3.2 正文主方法：两阶段稳定性选择协议</w:t>
      </w:r>
    </w:p>
    <w:p>
      <w:pPr>
        <w:pStyle w:val="FirstParagraph"/>
      </w:pPr>
      <w:r>
        <w:t xml:space="preserve">第一阶段在单个随机种子内部工作。验证期被切分为多个连续时间片，每个候选信号都需要在这些切片上重复接受检验。本文关心的不只是平均 rank-IC，还关心最差时间片是否明显失真、分片表现是否剧烈波动、换手是否过高，以及信号本身是否依赖复杂而脆弱的结构。基于这些考量，正文主方法使用如下时间稳健分数：</w:t>
      </w:r>
    </w:p>
    <w:p>
      <w:pPr>
        <w:pStyle w:val="BodyText"/>
      </w:pPr>
      <w:r>
        <w:t xml:space="preserve">$$</w:t>
      </w:r>
    </w:p>
    <w:p>
      <w:pPr>
        <w:pStyle w:val="BodyText"/>
      </w:pPr>
      <w:r>
        <w:t xml:space="preserve">r(c)=</w:t>
      </w:r>
      <w:r>
        <w:t xml:space="preserve">I(c)+</w:t>
      </w:r>
      <w:r>
        <w:t xml:space="preserve">I_{</w:t>
      </w:r>
      <w:r>
        <w:t xml:space="preserve">}(c)-</w:t>
      </w:r>
      <w:r>
        <w:rPr>
          <w:iCs/>
          <w:i/>
        </w:rPr>
        <w:t xml:space="preserve">I(c)+</w:t>
      </w:r>
      <w:r>
        <w:rPr>
          <w:iCs/>
          <w:i/>
        </w:rPr>
        <w:t xml:space="preserve">p</w:t>
      </w:r>
      <w:r>
        <w:t xml:space="preserve">+(c)+</w:t>
      </w:r>
      <w:r>
        <w:t xml:space="preserve">!</w:t>
      </w:r>
      <w:r>
        <w:t xml:space="preserve">(</w:t>
      </w:r>
      <w:r>
        <w:t xml:space="preserve">)+</w:t>
      </w:r>
      <w:r>
        <w:t xml:space="preserve">!</w:t>
      </w:r>
      <w:r>
        <w:t xml:space="preserve">(</w:t>
      </w:r>
      <w:r>
        <w:t xml:space="preserve">)+</w:t>
      </w:r>
      <w:r>
        <w:t xml:space="preserve">,</w:t>
      </w:r>
      <w:r>
        <w:t xml:space="preserve">(c)-</w:t>
      </w:r>
      <w:r>
        <w:rPr>
          <w:iCs/>
          <w:i/>
        </w:rPr>
        <w:t xml:space="preserve">{</w:t>
      </w:r>
      <w:r>
        <w:rPr>
          <w:iCs/>
          <w:i/>
        </w:rPr>
        <w:t xml:space="preserve">}</w:t>
      </w:r>
      <w:r>
        <w:rPr>
          <w:iCs/>
          <w:i/>
        </w:rPr>
        <w:t xml:space="preserve">(c)-</w:t>
      </w:r>
      <w:r>
        <w:t xml:space="preserve">{</w:t>
      </w:r>
      <w:r>
        <w:t xml:space="preserve">}</w:t>
      </w:r>
      <w:r>
        <w:t xml:space="preserve">(c).</w:t>
      </w:r>
      <w:r>
        <w:t xml:space="preserve"> </w:t>
      </w:r>
      <w:r>
        <w:t xml:space="preserve">$$</w:t>
      </w:r>
    </w:p>
    <w:p>
      <w:pPr>
        <w:pStyle w:val="BodyText"/>
      </w:pPr>
      <w:r>
        <w:t xml:space="preserve">（2）</w:t>
      </w:r>
    </w:p>
    <w:p>
      <w:pPr>
        <w:pStyle w:val="BodyText"/>
      </w:pPr>
      <w:r>
        <w:t xml:space="preserve">式中，</w:t>
      </w:r>
      <m:oMath>
        <m:acc>
          <m:accPr>
            <m:chr m:val="‾"/>
          </m:accPr>
          <m:e>
            <m:r>
              <m:t>I</m:t>
            </m:r>
          </m:e>
        </m:acc>
        <m:r>
          <m:rPr>
            <m:sty m:val="p"/>
          </m:rPr>
          <m:t>(</m:t>
        </m:r>
        <m:r>
          <m:t>c</m:t>
        </m:r>
        <m:r>
          <m:rPr>
            <m:sty m:val="p"/>
          </m:rPr>
          <m:t>)</m:t>
        </m:r>
      </m:oMath>
      <w:r>
        <w:t xml:space="preserve">、</w:t>
      </w:r>
      <m:oMath>
        <m:sSub>
          <m:e>
            <m:r>
              <m:t>I</m:t>
            </m:r>
          </m:e>
          <m:sub>
            <m:r>
              <m:rPr>
                <m:nor/>
                <m:sty m:val="p"/>
              </m:rPr>
              <m:t>min</m:t>
            </m:r>
          </m:sub>
        </m:sSub>
        <m:r>
          <m:rPr>
            <m:sty m:val="p"/>
          </m:rPr>
          <m:t>(</m:t>
        </m:r>
        <m:r>
          <m:t>c</m:t>
        </m:r>
        <m:r>
          <m:rPr>
            <m:sty m:val="p"/>
          </m:rPr>
          <m:t>)</m:t>
        </m:r>
      </m:oMath>
      <w:r>
        <w:t xml:space="preserve"> </w:t>
      </w:r>
      <w:r>
        <w:t xml:space="preserve">和</w:t>
      </w:r>
      <w:r>
        <w:t xml:space="preserve"> </w:t>
      </w:r>
      <m:oMath>
        <m:sSub>
          <m:e>
            <m:r>
              <m:t>σ</m:t>
            </m:r>
          </m:e>
          <m:sub>
            <m:r>
              <m:t>I</m:t>
            </m:r>
          </m:sub>
        </m:sSub>
        <m:r>
          <m:rPr>
            <m:sty m:val="p"/>
          </m:rPr>
          <m:t>(</m:t>
        </m:r>
        <m:r>
          <m:t>c</m:t>
        </m:r>
        <m:r>
          <m:rPr>
            <m:sty m:val="p"/>
          </m:rPr>
          <m:t>)</m:t>
        </m:r>
      </m:oMath>
      <w:r>
        <w:t xml:space="preserve"> </w:t>
      </w:r>
      <w:r>
        <w:t xml:space="preserve">分别表示分片平均 rank-IC、最差时间片 rank-IC 和分片波动；</w:t>
      </w:r>
      <m:oMath>
        <m:sSub>
          <m:e>
            <m:r>
              <m:t>p</m:t>
            </m:r>
          </m:e>
          <m:sub>
            <m:r>
              <m:rPr>
                <m:sty m:val="p"/>
              </m:rPr>
              <m:t>+</m:t>
            </m:r>
          </m:sub>
        </m:sSub>
        <m:r>
          <m:rPr>
            <m:sty m:val="p"/>
          </m:rPr>
          <m:t>(</m:t>
        </m:r>
        <m:r>
          <m:t>c</m:t>
        </m:r>
        <m:r>
          <m:rPr>
            <m:sty m:val="p"/>
          </m:rPr>
          <m:t>)</m:t>
        </m:r>
      </m:oMath>
      <w:r>
        <w:t xml:space="preserve"> </w:t>
      </w:r>
      <w:r>
        <w:t xml:space="preserve">表示正分片占比；</w:t>
      </w:r>
      <m:oMath>
        <m:acc>
          <m:accPr>
            <m:chr m:val="‾"/>
          </m:accPr>
          <m:e>
            <m:r>
              <m:t>S</m:t>
            </m:r>
          </m:e>
        </m:acc>
        <m:r>
          <m:rPr>
            <m:sty m:val="p"/>
          </m:rPr>
          <m:t>(</m:t>
        </m:r>
        <m:r>
          <m:t>c</m:t>
        </m:r>
        <m:r>
          <m:rPr>
            <m:sty m:val="p"/>
          </m:rPr>
          <m:t>)</m:t>
        </m:r>
      </m:oMath>
      <w:r>
        <w:t xml:space="preserve"> </w:t>
      </w:r>
      <w:r>
        <w:t xml:space="preserve">与</w:t>
      </w:r>
      <w:r>
        <w:t xml:space="preserve"> </w:t>
      </w:r>
      <m:oMath>
        <m:r>
          <m:t>R</m:t>
        </m:r>
        <m:r>
          <m:rPr>
            <m:sty m:val="p"/>
          </m:rPr>
          <m:t>(</m:t>
        </m:r>
        <m:r>
          <m:t>c</m:t>
        </m:r>
        <m:r>
          <m:rPr>
            <m:sty m:val="p"/>
          </m:rPr>
          <m:t>)</m:t>
        </m:r>
      </m:oMath>
      <w:r>
        <w:t xml:space="preserve"> </w:t>
      </w:r>
      <w:r>
        <w:t xml:space="preserve">分别是分片平均 Sharpe 和年化收益；</w:t>
      </w:r>
      <m:oMath>
        <m:r>
          <m:t>τ</m:t>
        </m:r>
        <m:r>
          <m:rPr>
            <m:sty m:val="p"/>
          </m:rPr>
          <m:t>(</m:t>
        </m:r>
        <m:r>
          <m:t>c</m:t>
        </m:r>
        <m:r>
          <m:rPr>
            <m:sty m:val="p"/>
          </m:rPr>
          <m:t>)</m:t>
        </m:r>
      </m:oMath>
      <w:r>
        <w:t xml:space="preserve"> </w:t>
      </w:r>
      <w:r>
        <w:t xml:space="preserve">表示换手，</w:t>
      </w:r>
      <m:oMath>
        <m:r>
          <m:t>κ</m:t>
        </m:r>
        <m:r>
          <m:rPr>
            <m:sty m:val="p"/>
          </m:rPr>
          <m:t>(</m:t>
        </m:r>
        <m:r>
          <m:t>c</m:t>
        </m:r>
        <m:r>
          <m:rPr>
            <m:sty m:val="p"/>
          </m:rPr>
          <m:t>)</m:t>
        </m:r>
      </m:oMath>
      <w:r>
        <w:t xml:space="preserve"> </w:t>
      </w:r>
      <w:r>
        <w:t xml:space="preserve">表示复杂度。为了避免不同量纲项直接相加带来的硬编码问题，Sharpe 与年化收益都不再用固定常数缩放，而是除以训练期候选分布的经验尺度</w:t>
      </w:r>
      <w:r>
        <w:t xml:space="preserve"> </w:t>
      </w:r>
      <m:oMath>
        <m:sSub>
          <m:e>
            <m:acc>
              <m:accPr>
                <m:chr m:val="̂"/>
              </m:accPr>
              <m:e>
                <m:r>
                  <m:t>σ</m:t>
                </m:r>
              </m:e>
            </m:acc>
          </m:e>
          <m:sub>
            <m:r>
              <m:t>S</m:t>
            </m:r>
            <m:r>
              <m:rPr>
                <m:sty m:val="p"/>
              </m:rPr>
              <m:t>,</m:t>
            </m:r>
            <m:r>
              <m:rPr>
                <m:sty m:val="p"/>
              </m:rPr>
              <m:t>t</m:t>
            </m:r>
            <m:r>
              <m:rPr>
                <m:sty m:val="p"/>
              </m:rPr>
              <m:t>r</m:t>
            </m:r>
            <m:r>
              <m:rPr>
                <m:sty m:val="p"/>
              </m:rPr>
              <m:t>a</m:t>
            </m:r>
            <m:r>
              <m:rPr>
                <m:sty m:val="p"/>
              </m:rPr>
              <m:t>i</m:t>
            </m:r>
            <m:r>
              <m:rPr>
                <m:sty m:val="p"/>
              </m:rPr>
              <m:t>n</m:t>
            </m:r>
          </m:sub>
        </m:sSub>
      </m:oMath>
      <w:r>
        <w:t xml:space="preserve"> </w:t>
      </w:r>
      <w:r>
        <w:t xml:space="preserve">与</w:t>
      </w:r>
      <w:r>
        <w:t xml:space="preserve"> </w:t>
      </w:r>
      <m:oMath>
        <m:sSub>
          <m:e>
            <m:acc>
              <m:accPr>
                <m:chr m:val="̂"/>
              </m:accPr>
              <m:e>
                <m:r>
                  <m:t>σ</m:t>
                </m:r>
              </m:e>
            </m:acc>
          </m:e>
          <m:sub>
            <m:r>
              <m:t>R</m:t>
            </m:r>
            <m:r>
              <m:rPr>
                <m:sty m:val="p"/>
              </m:rPr>
              <m:t>,</m:t>
            </m:r>
            <m:r>
              <m:rPr>
                <m:sty m:val="p"/>
              </m:rPr>
              <m:t>t</m:t>
            </m:r>
            <m:r>
              <m:rPr>
                <m:sty m:val="p"/>
              </m:rPr>
              <m:t>r</m:t>
            </m:r>
            <m:r>
              <m:rPr>
                <m:sty m:val="p"/>
              </m:rPr>
              <m:t>a</m:t>
            </m:r>
            <m:r>
              <m:rPr>
                <m:sty m:val="p"/>
              </m:rPr>
              <m:t>i</m:t>
            </m:r>
            <m:r>
              <m:rPr>
                <m:sty m:val="p"/>
              </m:rPr>
              <m:t>n</m:t>
            </m:r>
          </m:sub>
        </m:sSub>
      </m:oMath>
      <w:r>
        <w:t xml:space="preserve">。这样做的目的不是追求某个参数的最优美形式，而是把不同统计量压回到近似可比较的数量级上。</w:t>
      </w:r>
    </w:p>
    <w:p>
      <w:pPr>
        <w:pStyle w:val="BodyText"/>
      </w:pPr>
      <w:r>
        <w:t xml:space="preserve">辅助稳定性项</w:t>
      </w:r>
      <w:r>
        <w:t xml:space="preserve"> </w:t>
      </w:r>
      <m:oMath>
        <m:acc>
          <m:accPr>
            <m:chr m:val="̃"/>
          </m:accPr>
          <m:e>
            <m:r>
              <m:t>K</m:t>
            </m:r>
          </m:e>
        </m:acc>
        <m:r>
          <m:rPr>
            <m:sty m:val="p"/>
          </m:rPr>
          <m:t>(</m:t>
        </m:r>
        <m:r>
          <m:t>c</m:t>
        </m:r>
        <m:r>
          <m:rPr>
            <m:sty m:val="p"/>
          </m:rPr>
          <m:t>)</m:t>
        </m:r>
      </m:oMath>
      <w:r>
        <w:t xml:space="preserve"> </w:t>
      </w:r>
      <w:r>
        <w:t xml:space="preserve">用于约束候选在分片上的极端扭曲，其定义为</w:t>
      </w:r>
    </w:p>
    <w:p>
      <w:pPr>
        <w:pStyle w:val="BodyText"/>
      </w:pPr>
      <w:r>
        <w:t xml:space="preserve">$$</w:t>
      </w:r>
    </w:p>
    <w:p>
      <w:pPr>
        <w:pStyle w:val="BodyText"/>
      </w:pPr>
      <w:r>
        <w:t xml:space="preserve">(c)=</w:t>
      </w:r>
      <w:r>
        <w:t xml:space="preserve">{</w:t>
      </w:r>
      <w:r>
        <w:t xml:space="preserve">,-0.05</w:t>
      </w:r>
      <w:r>
        <w:t xml:space="preserve">},</w:t>
      </w:r>
      <w:r>
        <w:t xml:space="preserve"> </w:t>
      </w:r>
      <w:r>
        <w:t xml:space="preserve">$$</w:t>
      </w:r>
    </w:p>
    <w:p>
      <w:pPr>
        <w:pStyle w:val="BodyText"/>
      </w:pPr>
      <w:r>
        <w:t xml:space="preserve">其中</w:t>
      </w:r>
      <w:r>
        <w:t xml:space="preserve"> </w:t>
      </w:r>
      <m:oMath>
        <m:r>
          <m:t>K</m:t>
        </m:r>
        <m:r>
          <m:rPr>
            <m:sty m:val="p"/>
          </m:rPr>
          <m:t>(</m:t>
        </m:r>
        <m:r>
          <m:t>c</m:t>
        </m:r>
        <m:r>
          <m:rPr>
            <m:sty m:val="p"/>
          </m:rPr>
          <m:t>)</m:t>
        </m:r>
      </m:oMath>
      <w:r>
        <w:t xml:space="preserve"> </w:t>
      </w:r>
      <w:r>
        <w:t xml:space="preserve">对应评估器输出的基础稳定性分数，裁剪的目的在于防止个别极端样本把主分数完全主导。这个处理并不改变信号排序的主要来源，但能减少由异常切片产生的数值爆炸。</w:t>
      </w:r>
    </w:p>
    <w:p>
      <w:pPr>
        <w:pStyle w:val="BodyText"/>
      </w:pPr>
      <w:r>
        <w:t xml:space="preserve">第二阶段在跨随机种子层面工作。单个随机种子的冠军候选未必可靠，但如果某个信号在不同种子下反复进入冠军、反复被稳定性选择器保留、并且能反复以候选身份出现在 shortlist 中，那么它至少具备更高的跨路径可复现性。基于此，本文构造跨随机种子的共识分数：</w:t>
      </w:r>
    </w:p>
    <w:p>
      <w:pPr>
        <w:pStyle w:val="BodyText"/>
      </w:pPr>
      <m:oMathPara>
        <m:oMathParaPr>
          <m:jc m:val="center"/>
        </m:oMathParaPr>
        <m:oMath>
          <m:r>
            <m:t>A</m:t>
          </m:r>
          <m:r>
            <m:rPr>
              <m:sty m:val="p"/>
            </m:rPr>
            <m:t>(</m:t>
          </m:r>
          <m:r>
            <m:t>c</m:t>
          </m:r>
          <m:r>
            <m:rPr>
              <m:sty m:val="p"/>
            </m:rPr>
            <m:t>)</m:t>
          </m:r>
          <m:r>
            <m:rPr>
              <m:sty m:val="p"/>
            </m:rPr>
            <m:t>=</m:t>
          </m:r>
          <m:r>
            <m:t>r</m:t>
          </m:r>
          <m:r>
            <m:rPr>
              <m:sty m:val="p"/>
            </m:rPr>
            <m:t>(</m:t>
          </m:r>
          <m:r>
            <m:t>c</m:t>
          </m:r>
          <m:r>
            <m:rPr>
              <m:sty m:val="p"/>
            </m:rPr>
            <m:t>)</m:t>
          </m:r>
          <m:r>
            <m:rPr>
              <m:sty m:val="p"/>
            </m:rPr>
            <m:t>+</m:t>
          </m:r>
          <m:sSub>
            <m:e>
              <m:r>
                <m:t>w</m:t>
              </m:r>
            </m:e>
            <m:sub>
              <m:r>
                <m:t>c</m:t>
              </m:r>
              <m:r>
                <m:t>h</m:t>
              </m:r>
            </m:sub>
          </m:sSub>
          <m:sSub>
            <m:e>
              <m:r>
                <m:t>p</m:t>
              </m:r>
            </m:e>
            <m:sub>
              <m:r>
                <m:t>c</m:t>
              </m:r>
              <m:r>
                <m:t>h</m:t>
              </m:r>
            </m:sub>
          </m:sSub>
          <m:r>
            <m:rPr>
              <m:sty m:val="p"/>
            </m:rPr>
            <m:t>(</m:t>
          </m:r>
          <m:r>
            <m:t>c</m:t>
          </m:r>
          <m:r>
            <m:rPr>
              <m:sty m:val="p"/>
            </m:rPr>
            <m:t>)</m:t>
          </m:r>
          <m:r>
            <m:rPr>
              <m:sty m:val="p"/>
            </m:rPr>
            <m:t>+</m:t>
          </m:r>
          <m:sSub>
            <m:e>
              <m:r>
                <m:t>w</m:t>
              </m:r>
            </m:e>
            <m:sub>
              <m:r>
                <m:t>s</m:t>
              </m:r>
              <m:r>
                <m:t>e</m:t>
              </m:r>
              <m:r>
                <m:t>l</m:t>
              </m:r>
            </m:sub>
          </m:sSub>
          <m:sSub>
            <m:e>
              <m:r>
                <m:t>p</m:t>
              </m:r>
            </m:e>
            <m:sub>
              <m:r>
                <m:t>s</m:t>
              </m:r>
              <m:r>
                <m:t>e</m:t>
              </m:r>
              <m:r>
                <m:t>l</m:t>
              </m:r>
            </m:sub>
          </m:sSub>
          <m:r>
            <m:rPr>
              <m:sty m:val="p"/>
            </m:rPr>
            <m:t>(</m:t>
          </m:r>
          <m:r>
            <m:t>c</m:t>
          </m:r>
          <m:r>
            <m:rPr>
              <m:sty m:val="p"/>
            </m:rPr>
            <m:t>)</m:t>
          </m:r>
          <m:r>
            <m:rPr>
              <m:sty m:val="p"/>
            </m:rPr>
            <m:t>+</m:t>
          </m:r>
          <m:sSub>
            <m:e>
              <m:r>
                <m:t>w</m:t>
              </m:r>
            </m:e>
            <m:sub>
              <m:r>
                <m:t>c</m:t>
              </m:r>
              <m:r>
                <m:t>a</m:t>
              </m:r>
              <m:r>
                <m:t>n</m:t>
              </m:r>
            </m:sub>
          </m:sSub>
          <m:sSub>
            <m:e>
              <m:r>
                <m:t>p</m:t>
              </m:r>
            </m:e>
            <m:sub>
              <m:r>
                <m:t>c</m:t>
              </m:r>
              <m:r>
                <m:t>a</m:t>
              </m:r>
              <m:r>
                <m:t>n</m:t>
              </m:r>
            </m:sub>
          </m:sSub>
          <m:r>
            <m:rPr>
              <m:sty m:val="p"/>
            </m:rPr>
            <m:t>(</m:t>
          </m:r>
          <m:r>
            <m:t>c</m:t>
          </m:r>
          <m:r>
            <m:rPr>
              <m:sty m:val="p"/>
            </m:rPr>
            <m:t>)</m:t>
          </m:r>
          <m:r>
            <m:rPr>
              <m:sty m:val="p"/>
            </m:rPr>
            <m:t>−</m:t>
          </m:r>
          <m:sSub>
            <m:e>
              <m:r>
                <m:t>λ</m:t>
              </m:r>
            </m:e>
            <m:sub>
              <m:r>
                <m:t>q</m:t>
              </m:r>
            </m:sub>
          </m:sSub>
          <m:r>
            <m:rPr>
              <m:nor/>
              <m:sty m:val="p"/>
            </m:rPr>
            <m:t>max</m:t>
          </m:r>
          <m:r>
            <m:rPr>
              <m:sty m:val="p"/>
            </m:rPr>
            <m:t>{</m:t>
          </m:r>
          <m:r>
            <m:t>q</m:t>
          </m:r>
          <m:r>
            <m:rPr>
              <m:sty m:val="p"/>
            </m:rPr>
            <m:t>(</m:t>
          </m:r>
          <m:r>
            <m:t>c</m:t>
          </m:r>
          <m:r>
            <m:rPr>
              <m:sty m:val="p"/>
            </m:rPr>
            <m:t>)</m:t>
          </m:r>
          <m:r>
            <m:rPr>
              <m:sty m:val="p"/>
            </m:rPr>
            <m:t>−</m:t>
          </m:r>
          <m:r>
            <m:t>1</m:t>
          </m:r>
          <m:r>
            <m:rPr>
              <m:sty m:val="p"/>
            </m:rPr>
            <m:t>,</m:t>
          </m:r>
          <m:r>
            <m:t>0</m:t>
          </m:r>
          <m:r>
            <m:rPr>
              <m:sty m:val="p"/>
            </m:rPr>
            <m:t>}</m:t>
          </m:r>
          <m:r>
            <m:rPr>
              <m:sty m:val="p"/>
            </m:rPr>
            <m:t>.</m:t>
          </m:r>
        </m:oMath>
      </m:oMathPara>
    </w:p>
    <w:p>
      <w:pPr>
        <w:pStyle w:val="FirstParagraph"/>
      </w:pPr>
      <w:r>
        <w:t xml:space="preserve">（3）</w:t>
      </w:r>
    </w:p>
    <w:p>
      <w:pPr>
        <w:pStyle w:val="BodyText"/>
      </w:pPr>
      <w:r>
        <w:t xml:space="preserve">其中，</w:t>
      </w:r>
      <m:oMath>
        <m:sSub>
          <m:e>
            <m:r>
              <m:t>p</m:t>
            </m:r>
          </m:e>
          <m:sub>
            <m:r>
              <m:t>c</m:t>
            </m:r>
            <m:r>
              <m:t>h</m:t>
            </m:r>
          </m:sub>
        </m:sSub>
        <m:r>
          <m:rPr>
            <m:sty m:val="p"/>
          </m:rPr>
          <m:t>(</m:t>
        </m:r>
        <m:r>
          <m:t>c</m:t>
        </m:r>
        <m:r>
          <m:rPr>
            <m:sty m:val="p"/>
          </m:rPr>
          <m:t>)</m:t>
        </m:r>
      </m:oMath>
      <w:r>
        <w:t xml:space="preserve">、</w:t>
      </w:r>
      <m:oMath>
        <m:sSub>
          <m:e>
            <m:r>
              <m:t>p</m:t>
            </m:r>
          </m:e>
          <m:sub>
            <m:r>
              <m:t>s</m:t>
            </m:r>
            <m:r>
              <m:t>e</m:t>
            </m:r>
            <m:r>
              <m:t>l</m:t>
            </m:r>
          </m:sub>
        </m:sSub>
        <m:r>
          <m:rPr>
            <m:sty m:val="p"/>
          </m:rPr>
          <m:t>(</m:t>
        </m:r>
        <m:r>
          <m:t>c</m:t>
        </m:r>
        <m:r>
          <m:rPr>
            <m:sty m:val="p"/>
          </m:rPr>
          <m:t>)</m:t>
        </m:r>
      </m:oMath>
      <w:r>
        <w:t xml:space="preserve"> </w:t>
      </w:r>
      <w:r>
        <w:t xml:space="preserve">与</w:t>
      </w:r>
      <w:r>
        <w:t xml:space="preserve"> </w:t>
      </w:r>
      <m:oMath>
        <m:sSub>
          <m:e>
            <m:r>
              <m:t>p</m:t>
            </m:r>
          </m:e>
          <m:sub>
            <m:r>
              <m:t>c</m:t>
            </m:r>
            <m:r>
              <m:t>a</m:t>
            </m:r>
            <m:r>
              <m:t>n</m:t>
            </m:r>
          </m:sub>
        </m:sSub>
        <m:r>
          <m:rPr>
            <m:sty m:val="p"/>
          </m:rPr>
          <m:t>(</m:t>
        </m:r>
        <m:r>
          <m:t>c</m:t>
        </m:r>
        <m:r>
          <m:rPr>
            <m:sty m:val="p"/>
          </m:rPr>
          <m:t>)</m:t>
        </m:r>
      </m:oMath>
      <w:r>
        <w:t xml:space="preserve"> </w:t>
      </w:r>
      <w:r>
        <w:t xml:space="preserve">分别表示冠军支持、选择支持与候选支持，</w:t>
      </w:r>
      <m:oMath>
        <m:r>
          <m:t>q</m:t>
        </m:r>
        <m:r>
          <m:rPr>
            <m:sty m:val="p"/>
          </m:rPr>
          <m:t>(</m:t>
        </m:r>
        <m:r>
          <m:t>c</m:t>
        </m:r>
        <m:r>
          <m:rPr>
            <m:sty m:val="p"/>
          </m:rPr>
          <m:t>)</m:t>
        </m:r>
      </m:oMath>
      <w:r>
        <w:t xml:space="preserve"> </w:t>
      </w:r>
      <w:r>
        <w:t xml:space="preserve">为共识 shortlist 内的平均排序位置。这里的逻辑不是</w:t>
      </w:r>
      <w:r>
        <w:t xml:space="preserve">“</w:t>
      </w:r>
      <w:r>
        <w:t xml:space="preserve">支持越多越真</w:t>
      </w:r>
      <w:r>
        <w:t xml:space="preserve">”</w:t>
      </w:r>
      <w:r>
        <w:t xml:space="preserve">，而是</w:t>
      </w:r>
      <w:r>
        <w:t xml:space="preserve">“</w:t>
      </w:r>
      <w:r>
        <w:t xml:space="preserve">在时间与种子双重扰动下仍能反复出现的结构，更不容易是某一次路径噪声的偶然产物</w:t>
      </w:r>
      <w:r>
        <w:t xml:space="preserve">”</w:t>
      </w:r>
      <w:r>
        <w:t xml:space="preserve">。平均排序位置的惩罚则用于避免在支持度相近时，让长期排位靠后的候选占据典型信号位置。</w:t>
      </w:r>
    </w:p>
    <w:bookmarkEnd w:id="24"/>
    <w:bookmarkStart w:id="25" w:name="滚动元验证敏感性与-mcs-代理"/>
    <w:p>
      <w:pPr>
        <w:pStyle w:val="Heading3"/>
      </w:pPr>
      <w:r>
        <w:t xml:space="preserve">3.3 滚动元验证、敏感性与 MCS 代理</w:t>
      </w:r>
    </w:p>
    <w:p>
      <w:pPr>
        <w:pStyle w:val="FirstParagraph"/>
      </w:pPr>
      <w:r>
        <w:t xml:space="preserve">主方法的超参数不是通过整段验证期上的收益极值直接确定，而是通过滚动元验证校准。验证期被进一步划分为多个连续窗口，每个窗口再拆成前半段与后半段。设</w:t>
      </w:r>
      <w:r>
        <w:t xml:space="preserve"> </w:t>
      </w:r>
      <m:oMath>
        <m:r>
          <m:t>θ</m:t>
        </m:r>
      </m:oMath>
      <w:r>
        <w:t xml:space="preserve"> </w:t>
      </w:r>
      <w:r>
        <w:t xml:space="preserve">表示一组超参数，</w:t>
      </w:r>
      <m:oMath>
        <m:sSubSup>
          <m:e>
            <m:r>
              <m:t>c</m:t>
            </m:r>
          </m:e>
          <m:sub>
            <m:r>
              <m:t>w</m:t>
            </m:r>
            <m:r>
              <m:rPr>
                <m:sty m:val="p"/>
              </m:rPr>
              <m:t>,</m:t>
            </m:r>
            <m:r>
              <m:t>θ</m:t>
            </m:r>
          </m:sub>
          <m:sup>
            <m:r>
              <m:rPr>
                <m:sty m:val="p"/>
              </m:rPr>
              <m:t>*</m:t>
            </m:r>
          </m:sup>
        </m:sSubSup>
      </m:oMath>
      <w:r>
        <w:t xml:space="preserve"> </w:t>
      </w:r>
      <w:r>
        <w:t xml:space="preserve">表示窗口</w:t>
      </w:r>
      <w:r>
        <w:t xml:space="preserve"> </w:t>
      </w:r>
      <m:oMath>
        <m:r>
          <m:t>w</m:t>
        </m:r>
      </m:oMath>
      <w:r>
        <w:t xml:space="preserve"> </w:t>
      </w:r>
      <w:r>
        <w:t xml:space="preserve">校准半段筛出的典型信号，</w:t>
      </w:r>
      <m:oMath>
        <m:sSubSup>
          <m:e>
            <m:r>
              <m:rPr>
                <m:sty m:val="b"/>
              </m:rPr>
              <m:t>I</m:t>
            </m:r>
          </m:e>
          <m:sub>
            <m:r>
              <m:t>w</m:t>
            </m:r>
            <m:r>
              <m:rPr>
                <m:sty m:val="p"/>
              </m:rPr>
              <m:t>,</m:t>
            </m:r>
            <m:r>
              <m:t>θ</m:t>
            </m:r>
          </m:sub>
          <m:sup>
            <m:r>
              <m:rPr>
                <m:sty m:val="p"/>
              </m:rPr>
              <m:t>c</m:t>
            </m:r>
            <m:r>
              <m:rPr>
                <m:sty m:val="p"/>
              </m:rPr>
              <m:t>a</m:t>
            </m:r>
            <m:r>
              <m:rPr>
                <m:sty m:val="p"/>
              </m:rPr>
              <m:t>l</m:t>
            </m:r>
          </m:sup>
        </m:sSubSup>
      </m:oMath>
      <w:r>
        <w:t xml:space="preserve"> </w:t>
      </w:r>
      <w:r>
        <w:t xml:space="preserve">与</w:t>
      </w:r>
      <w:r>
        <w:t xml:space="preserve"> </w:t>
      </w:r>
      <m:oMath>
        <m:sSubSup>
          <m:e>
            <m:r>
              <m:rPr>
                <m:sty m:val="b"/>
              </m:rPr>
              <m:t>I</m:t>
            </m:r>
          </m:e>
          <m:sub>
            <m:r>
              <m:t>w</m:t>
            </m:r>
            <m:r>
              <m:rPr>
                <m:sty m:val="p"/>
              </m:rPr>
              <m:t>,</m:t>
            </m:r>
            <m:r>
              <m:t>θ</m:t>
            </m:r>
          </m:sub>
          <m:sup>
            <m:r>
              <m:rPr>
                <m:sty m:val="p"/>
              </m:rPr>
              <m:t>m</m:t>
            </m:r>
            <m:r>
              <m:rPr>
                <m:sty m:val="p"/>
              </m:rPr>
              <m:t>e</m:t>
            </m:r>
            <m:r>
              <m:rPr>
                <m:sty m:val="p"/>
              </m:rPr>
              <m:t>t</m:t>
            </m:r>
            <m:r>
              <m:rPr>
                <m:sty m:val="p"/>
              </m:rPr>
              <m:t>a</m:t>
            </m:r>
          </m:sup>
        </m:sSubSup>
      </m:oMath>
      <w:r>
        <w:t xml:space="preserve"> </w:t>
      </w:r>
      <w:r>
        <w:t xml:space="preserve">表示同一候选池在窗口前后半段上的 rank-IC 向量，则元验证阶段最大化</w:t>
      </w:r>
    </w:p>
    <w:p>
      <w:pPr>
        <w:pStyle w:val="BodyText"/>
      </w:pPr>
      <w:r>
        <w:t xml:space="preserve">$$</w:t>
      </w:r>
    </w:p>
    <w:p>
      <w:pPr>
        <w:pStyle w:val="BodyText"/>
      </w:pPr>
      <w:r>
        <w:t xml:space="preserve">J_w(</w:t>
      </w:r>
      <w:r>
        <w:t xml:space="preserve">)=</w:t>
      </w:r>
      <w:r>
        <w:t xml:space="preserve">!</w:t>
      </w:r>
      <w:r>
        <w:t xml:space="preserve">(</w:t>
      </w:r>
      <w:r>
        <w:t xml:space="preserve">^{</w:t>
      </w:r>
      <w:r>
        <w:t xml:space="preserve">}</w:t>
      </w:r>
      <w:r>
        <w:rPr>
          <w:iCs/>
          <w:i/>
        </w:rPr>
        <w:t xml:space="preserve">{w,</w:t>
      </w:r>
      <w:r>
        <w:rPr>
          <w:iCs/>
          <w:i/>
        </w:rPr>
        <w:t xml:space="preserve">},</w:t>
      </w:r>
      <w:r>
        <w:rPr>
          <w:iCs/>
          <w:i/>
        </w:rPr>
        <w:t xml:space="preserve">^{</w:t>
      </w:r>
      <w:r>
        <w:rPr>
          <w:iCs/>
          <w:i/>
        </w:rPr>
        <w:t xml:space="preserve">}</w:t>
      </w:r>
      <w:r>
        <w:t xml:space="preserve">{w,</w:t>
      </w:r>
      <w:r>
        <w:t xml:space="preserve">}</w:t>
      </w:r>
      <w:r>
        <w:t xml:space="preserve">)</w:t>
      </w:r>
      <w:r>
        <w:t xml:space="preserve"> </w:t>
      </w:r>
      <w:r>
        <w:t xml:space="preserve">;+;</w:t>
      </w:r>
      <w:r>
        <w:t xml:space="preserve">!</w:t>
      </w:r>
      <w:r>
        <w:t xml:space="preserve">(</w:t>
      </w:r>
      <w:r>
        <w:t xml:space="preserve"> </w:t>
      </w:r>
      <w:r>
        <w:t xml:space="preserve">-</w:t>
      </w:r>
      <w:r>
        <w:t xml:space="preserve"> </w:t>
      </w:r>
      <w:r>
        <w:t xml:space="preserve">)</w:t>
      </w:r>
      <w:r>
        <w:t xml:space="preserve"> </w:t>
      </w:r>
      <w:r>
        <w:t xml:space="preserve">;-;</w:t>
      </w:r>
      <w:r>
        <w:t xml:space="preserve">!</w:t>
      </w:r>
      <w:r>
        <w:t xml:space="preserve">(</w:t>
      </w:r>
      <w:r>
        <w:t xml:space="preserve">).</w:t>
      </w:r>
      <w:r>
        <w:t xml:space="preserve"> </w:t>
      </w:r>
      <w:r>
        <w:t xml:space="preserve">$$</w:t>
      </w:r>
    </w:p>
    <w:p>
      <w:pPr>
        <w:pStyle w:val="BodyText"/>
      </w:pPr>
      <w:r>
        <w:t xml:space="preserve">（4）</w:t>
      </w:r>
    </w:p>
    <w:p>
      <w:pPr>
        <w:pStyle w:val="BodyText"/>
      </w:pPr>
      <w:r>
        <w:t xml:space="preserve">这里，</w:t>
      </w:r>
      <m:oMath>
        <m:r>
          <m:t>ρ</m:t>
        </m:r>
        <m:r>
          <m:rPr>
            <m:sty m:val="p"/>
          </m:rPr>
          <m:t>(</m:t>
        </m:r>
        <m:r>
          <m:rPr>
            <m:sty m:val="p"/>
          </m:rPr>
          <m:t>⋅</m:t>
        </m:r>
        <m:r>
          <m:rPr>
            <m:sty m:val="p"/>
          </m:rPr>
          <m:t>,</m:t>
        </m:r>
        <m:r>
          <m:rPr>
            <m:sty m:val="p"/>
          </m:rPr>
          <m:t>⋅</m:t>
        </m:r>
        <m:r>
          <m:rPr>
            <m:sty m:val="p"/>
          </m:rPr>
          <m:t>)</m:t>
        </m:r>
      </m:oMath>
      <w:r>
        <w:t xml:space="preserve"> </w:t>
      </w:r>
      <w:r>
        <w:t xml:space="preserve">为前后半段候选 rank-IC 向量的 Spearman 秩相关，第一项衡量排序结构的一致性；第二项用有界指数函数惩罚典型信号在前后半段的 rank-IC 衰减；第三项对评估半段的高换手进行标准化惩罚。该目标的核心含义是：一个可接受的参数配置，不是让后半段收益</w:t>
      </w:r>
      <w:r>
        <w:t xml:space="preserve">“</w:t>
      </w:r>
      <w:r>
        <w:t xml:space="preserve">偶然最高</w:t>
      </w:r>
      <w:r>
        <w:t xml:space="preserve">”</w:t>
      </w:r>
      <w:r>
        <w:t xml:space="preserve">，而是让前半段较优的候选在后半段依然大体保持原有排序，并避免只靠高换手换来短暂得分。</w:t>
      </w:r>
    </w:p>
    <w:p>
      <w:pPr>
        <w:pStyle w:val="BodyText"/>
      </w:pPr>
      <w:r>
        <w:t xml:space="preserve">实现上，本文并未在十多个连续参数维度上做全局联合优化。滚动元验证实际采用的是稀疏离散搜索与局部 refinement：先在</w:t>
      </w:r>
      <w:r>
        <w:t xml:space="preserve"> </w:t>
      </w:r>
      <w:r>
        <w:rPr>
          <w:rStyle w:val="VerbatimChar"/>
        </w:rPr>
        <w:t xml:space="preserve">26</w:t>
      </w:r>
      <w:r>
        <w:t xml:space="preserve"> </w:t>
      </w:r>
      <w:r>
        <w:t xml:space="preserve">组 coarse 配置中筛选，再对 shortlist 做</w:t>
      </w:r>
      <w:r>
        <w:t xml:space="preserve"> </w:t>
      </w:r>
      <w:r>
        <w:rPr>
          <w:rStyle w:val="VerbatimChar"/>
        </w:rPr>
        <w:t xml:space="preserve">105</w:t>
      </w:r>
      <w:r>
        <w:t xml:space="preserve"> </w:t>
      </w:r>
      <w:r>
        <w:t xml:space="preserve">组局部 refinement。也就是说，本文并不把元验证包装成高维最优控制问题，而是把它当作一个工程上可计算、统计上尽量克制的校准协议。后续</w:t>
      </w:r>
      <w:r>
        <w:t xml:space="preserve"> </w:t>
      </w:r>
      <w:r>
        <w:rPr>
          <w:rStyle w:val="VerbatimChar"/>
        </w:rPr>
        <w:t xml:space="preserve">35/35</w:t>
      </w:r>
      <w:r>
        <w:t xml:space="preserve"> </w:t>
      </w:r>
      <w:r>
        <w:t xml:space="preserve">组敏感性扰动的作用，也不是证明存在唯一最佳点，而是验证正文结论是否落在一块相对宽的参数盆地内。</w:t>
      </w:r>
    </w:p>
    <w:p>
      <w:pPr>
        <w:pStyle w:val="BodyText"/>
      </w:pPr>
      <w:r>
        <w:t xml:space="preserve">除了参数校准，本文还在每个宇宙上实施条件 MCS 代理。具体做法是：先用正文协议把巨大候选池截断到 top-10 shortlist，再用这些候选的前向滚动日收益损失序列</w:t>
      </w:r>
      <w:r>
        <w:t xml:space="preserve"> </w:t>
      </w:r>
      <m:oMath>
        <m:sSub>
          <m:e>
            <m:r>
              <m:t>L</m:t>
            </m:r>
          </m:e>
          <m:sub>
            <m:r>
              <m:t>t</m:t>
            </m:r>
          </m:sub>
        </m:sSub>
        <m:r>
          <m:rPr>
            <m:sty m:val="p"/>
          </m:rPr>
          <m:t>=</m:t>
        </m:r>
        <m:r>
          <m:rPr>
            <m:sty m:val="p"/>
          </m:rPr>
          <m:t>−</m:t>
        </m:r>
        <m:sSub>
          <m:e>
            <m:r>
              <m:t>r</m:t>
            </m:r>
          </m:e>
          <m:sub>
            <m:r>
              <m:t>t</m:t>
            </m:r>
          </m:sub>
        </m:sSub>
      </m:oMath>
      <w:r>
        <w:t xml:space="preserve"> </w:t>
      </w:r>
      <w:r>
        <w:t xml:space="preserve">构造 20 日 block bootstrap 的集合检验：</w:t>
      </w:r>
    </w:p>
    <w:p>
      <w:pPr>
        <w:pStyle w:val="BodyText"/>
      </w:pPr>
      <w:r>
        <w:t xml:space="preserve">$$</w:t>
      </w:r>
    </w:p>
    <w:p>
      <w:pPr>
        <w:pStyle w:val="BodyText"/>
      </w:pPr>
      <w:r>
        <w:t xml:space="preserve">^{</w:t>
      </w:r>
      <w:r>
        <w:t xml:space="preserve">}=</w:t>
      </w:r>
      <w:r>
        <w:t xml:space="preserve">{c</w:t>
      </w:r>
      <w:r>
        <w:t xml:space="preserve">_{10}:</w:t>
      </w:r>
      <w:r>
        <w:t xml:space="preserve">}.</w:t>
      </w:r>
      <w:r>
        <w:t xml:space="preserve"> </w:t>
      </w:r>
      <w:r>
        <w:t xml:space="preserve">$$</w:t>
      </w:r>
    </w:p>
    <w:p>
      <w:pPr>
        <w:pStyle w:val="BodyText"/>
      </w:pPr>
      <w:r>
        <w:t xml:space="preserve">（5）</w:t>
      </w:r>
    </w:p>
    <w:p>
      <w:pPr>
        <w:pStyle w:val="BodyText"/>
      </w:pPr>
      <w:r>
        <w:t xml:space="preserve">需要强调的是，这里的 MCS 属于启发式两步重抽样代理，而不是严格意义上的筛选后推断。由于全局符号空间极大且候选高度同源，直接在全空间上实施经典 MCS 在计算上并不可行。本文的做法是先通过稳定性协议降维，再在截断后的精英集合上进行条件检验，以回答一个更现实的问题：在一簇已经相当接近的优质候选中，典型信号是否至少处于</w:t>
      </w:r>
      <w:r>
        <w:t xml:space="preserve">“</w:t>
      </w:r>
      <w:r>
        <w:t xml:space="preserve">无法被剔除</w:t>
      </w:r>
      <w:r>
        <w:t xml:space="preserve">”</w:t>
      </w:r>
      <w:r>
        <w:t xml:space="preserve">的范围内。</w:t>
      </w:r>
    </w:p>
    <w:bookmarkEnd w:id="25"/>
    <w:bookmarkEnd w:id="26"/>
    <w:bookmarkStart w:id="27" w:name="数据实验设计与评价指标"/>
    <w:p>
      <w:pPr>
        <w:pStyle w:val="Heading2"/>
      </w:pPr>
      <w:r>
        <w:t xml:space="preserve">4. 数据、实验设计与评价指标</w:t>
      </w:r>
    </w:p>
    <w:p>
      <w:pPr>
        <w:pStyle w:val="FirstParagraph"/>
      </w:pPr>
      <w:r>
        <w:t xml:space="preserve">真实金融实验使用美国股票横截面数据，并构建</w:t>
      </w:r>
      <w:r>
        <w:t xml:space="preserve"> </w:t>
      </w:r>
      <w:r>
        <w:rPr>
          <w:rStyle w:val="VerbatimChar"/>
        </w:rPr>
        <w:t xml:space="preserve">liquid500</w:t>
      </w:r>
      <w:r>
        <w:t xml:space="preserve"> </w:t>
      </w:r>
      <w:r>
        <w:t xml:space="preserve">与</w:t>
      </w:r>
      <w:r>
        <w:t xml:space="preserve"> </w:t>
      </w:r>
      <w:r>
        <w:rPr>
          <w:rStyle w:val="VerbatimChar"/>
        </w:rPr>
        <w:t xml:space="preserve">liquid1000</w:t>
      </w:r>
      <w:r>
        <w:t xml:space="preserve"> </w:t>
      </w:r>
      <w:r>
        <w:t xml:space="preserve">两个投资宇宙。底层数据来自 WRDS 风格的 CRSP、Compustat、CCM 以及 CRSP 退市收益文件。样本首先按普通股与主板交易所语义筛选，仅保留美国普通股主板股票，再施加</w:t>
      </w:r>
      <w:r>
        <w:t xml:space="preserve"> </w:t>
      </w:r>
      <w:r>
        <w:rPr>
          <w:rStyle w:val="VerbatimChar"/>
        </w:rPr>
        <w:t xml:space="preserve">min_price=5</w:t>
      </w:r>
      <w:r>
        <w:t xml:space="preserve">、过去 20 日平均成交额不少于</w:t>
      </w:r>
      <w:r>
        <w:t xml:space="preserve"> </w:t>
      </w:r>
      <w:r>
        <w:rPr>
          <w:rStyle w:val="VerbatimChar"/>
        </w:rPr>
        <w:t xml:space="preserve">100</w:t>
      </w:r>
      <w:r>
        <w:t xml:space="preserve"> </w:t>
      </w:r>
      <w:r>
        <w:t xml:space="preserve">万美元、历史长度不少于</w:t>
      </w:r>
      <w:r>
        <w:t xml:space="preserve"> </w:t>
      </w:r>
      <w:r>
        <w:rPr>
          <w:rStyle w:val="VerbatimChar"/>
        </w:rPr>
        <w:t xml:space="preserve">60</w:t>
      </w:r>
      <w:r>
        <w:t xml:space="preserve"> </w:t>
      </w:r>
      <w:r>
        <w:t xml:space="preserve">日、当日横截面不少于</w:t>
      </w:r>
      <w:r>
        <w:t xml:space="preserve"> </w:t>
      </w:r>
      <w:r>
        <w:rPr>
          <w:rStyle w:val="VerbatimChar"/>
        </w:rPr>
        <w:t xml:space="preserve">50</w:t>
      </w:r>
      <w:r>
        <w:t xml:space="preserve"> </w:t>
      </w:r>
      <w:r>
        <w:t xml:space="preserve">只股票等约束。</w:t>
      </w:r>
      <w:r>
        <w:rPr>
          <w:rStyle w:val="VerbatimChar"/>
        </w:rPr>
        <w:t xml:space="preserve">liquid500</w:t>
      </w:r>
      <w:r>
        <w:t xml:space="preserve"> </w:t>
      </w:r>
      <w:r>
        <w:t xml:space="preserve">与</w:t>
      </w:r>
      <w:r>
        <w:t xml:space="preserve"> </w:t>
      </w:r>
      <w:r>
        <w:rPr>
          <w:rStyle w:val="VerbatimChar"/>
        </w:rPr>
        <w:t xml:space="preserve">liquid1000</w:t>
      </w:r>
      <w:r>
        <w:t xml:space="preserve"> </w:t>
      </w:r>
      <w:r>
        <w:t xml:space="preserve">则按训练期平均</w:t>
      </w:r>
      <w:r>
        <w:t xml:space="preserve"> </w:t>
      </w:r>
      <w:r>
        <w:rPr>
          <w:rStyle w:val="VerbatimChar"/>
        </w:rPr>
        <w:t xml:space="preserve">DOLLAR_VOLUME_20</w:t>
      </w:r>
      <w:r>
        <w:t xml:space="preserve"> </w:t>
      </w:r>
      <w:r>
        <w:t xml:space="preserve">排名前</w:t>
      </w:r>
      <w:r>
        <w:t xml:space="preserve"> </w:t>
      </w:r>
      <w:r>
        <w:rPr>
          <w:rStyle w:val="VerbatimChar"/>
        </w:rPr>
        <w:t xml:space="preserve">500/1000</w:t>
      </w:r>
      <w:r>
        <w:t xml:space="preserve"> </w:t>
      </w:r>
      <w:r>
        <w:t xml:space="preserve">构建。这样的定义保证了两个宇宙并不是临时按结果挑选出来的，而是在训练期就固定好可交易范围。</w:t>
      </w:r>
    </w:p>
    <w:p>
      <w:pPr>
        <w:pStyle w:val="BodyText"/>
      </w:pPr>
      <w:r>
        <w:t xml:space="preserve">样本区间被固定划分为训练期</w:t>
      </w:r>
      <w:r>
        <w:t xml:space="preserve"> </w:t>
      </w:r>
      <w:r>
        <w:rPr>
          <w:rStyle w:val="VerbatimChar"/>
        </w:rPr>
        <w:t xml:space="preserve">2010-01-04</w:t>
      </w:r>
      <w:r>
        <w:t xml:space="preserve"> </w:t>
      </w:r>
      <w:r>
        <w:t xml:space="preserve">至</w:t>
      </w:r>
      <w:r>
        <w:t xml:space="preserve"> </w:t>
      </w:r>
      <w:r>
        <w:rPr>
          <w:rStyle w:val="VerbatimChar"/>
        </w:rPr>
        <w:t xml:space="preserve">2014-12-31</w:t>
      </w:r>
      <w:r>
        <w:t xml:space="preserve">、验证期</w:t>
      </w:r>
      <w:r>
        <w:t xml:space="preserve"> </w:t>
      </w:r>
      <w:r>
        <w:rPr>
          <w:rStyle w:val="VerbatimChar"/>
        </w:rPr>
        <w:t xml:space="preserve">2015-01-02</w:t>
      </w:r>
      <w:r>
        <w:t xml:space="preserve"> </w:t>
      </w:r>
      <w:r>
        <w:t xml:space="preserve">至</w:t>
      </w:r>
      <w:r>
        <w:t xml:space="preserve"> </w:t>
      </w:r>
      <w:r>
        <w:rPr>
          <w:rStyle w:val="VerbatimChar"/>
        </w:rPr>
        <w:t xml:space="preserve">2018-12-31</w:t>
      </w:r>
      <w:r>
        <w:t xml:space="preserve"> </w:t>
      </w:r>
      <w:r>
        <w:t xml:space="preserve">和测试期</w:t>
      </w:r>
      <w:r>
        <w:t xml:space="preserve"> </w:t>
      </w:r>
      <w:r>
        <w:rPr>
          <w:rStyle w:val="VerbatimChar"/>
        </w:rPr>
        <w:t xml:space="preserve">2019-01-02</w:t>
      </w:r>
      <w:r>
        <w:t xml:space="preserve"> </w:t>
      </w:r>
      <w:r>
        <w:t xml:space="preserve">至</w:t>
      </w:r>
      <w:r>
        <w:t xml:space="preserve"> </w:t>
      </w:r>
      <w:r>
        <w:rPr>
          <w:rStyle w:val="VerbatimChar"/>
        </w:rPr>
        <w:t xml:space="preserve">2025-12-30</w:t>
      </w:r>
      <w:r>
        <w:t xml:space="preserve">。正文主结果全部严格只在测试期上汇报，以避免把验证期表现混入样本外证据链。收益评估显式并入退市收益，目标收益按</w:t>
      </w:r>
      <w:r>
        <w:t xml:space="preserve"> </w:t>
      </w:r>
      <m:oMath>
        <m:r>
          <m:rPr>
            <m:sty m:val="p"/>
          </m:rPr>
          <m:t>(</m:t>
        </m:r>
        <m:r>
          <m:t>1</m:t>
        </m:r>
        <m:r>
          <m:rPr>
            <m:sty m:val="p"/>
          </m:rPr>
          <m:t>+</m:t>
        </m:r>
        <m:r>
          <m:rPr>
            <m:sty m:val="p"/>
          </m:rPr>
          <m:t>r</m:t>
        </m:r>
        <m:r>
          <m:rPr>
            <m:sty m:val="p"/>
          </m:rPr>
          <m:t>e</m:t>
        </m:r>
        <m:r>
          <m:rPr>
            <m:sty m:val="p"/>
          </m:rPr>
          <m:t>t</m:t>
        </m:r>
        <m:r>
          <m:rPr>
            <m:sty m:val="p"/>
          </m:rPr>
          <m:t>)</m:t>
        </m:r>
        <m:r>
          <m:rPr>
            <m:sty m:val="p"/>
          </m:rPr>
          <m:t>(</m:t>
        </m:r>
        <m:r>
          <m:t>1</m:t>
        </m:r>
        <m:r>
          <m:rPr>
            <m:sty m:val="p"/>
          </m:rPr>
          <m:t>+</m:t>
        </m:r>
        <m:r>
          <m:rPr>
            <m:sty m:val="p"/>
          </m:rPr>
          <m:t>d</m:t>
        </m:r>
        <m:r>
          <m:rPr>
            <m:sty m:val="p"/>
          </m:rPr>
          <m:t>l</m:t>
        </m:r>
        <m:r>
          <m:rPr>
            <m:sty m:val="p"/>
          </m:rPr>
          <m:t>r</m:t>
        </m:r>
        <m:r>
          <m:rPr>
            <m:sty m:val="p"/>
          </m:rPr>
          <m:t>e</m:t>
        </m:r>
        <m:r>
          <m:rPr>
            <m:sty m:val="p"/>
          </m:rPr>
          <m:t>t</m:t>
        </m:r>
        <m:r>
          <m:rPr>
            <m:sty m:val="p"/>
          </m:rPr>
          <m:t>)</m:t>
        </m:r>
        <m:r>
          <m:rPr>
            <m:sty m:val="p"/>
          </m:rPr>
          <m:t>−</m:t>
        </m:r>
        <m:r>
          <m:t>1</m:t>
        </m:r>
      </m:oMath>
      <w:r>
        <w:t xml:space="preserve"> </w:t>
      </w:r>
      <w:r>
        <w:t xml:space="preserve">构造。对于所有源自 Compustat 的基本面特征，本文施加 point-in-time 约束：季度变量优先按</w:t>
      </w:r>
      <w:r>
        <w:t xml:space="preserve"> </w:t>
      </w:r>
      <w:r>
        <w:rPr>
          <w:rStyle w:val="VerbatimChar"/>
        </w:rPr>
        <w:t xml:space="preserve">RDQ</w:t>
      </w:r>
      <w:r>
        <w:t xml:space="preserve"> </w:t>
      </w:r>
      <w:r>
        <w:t xml:space="preserve">生效，</w:t>
      </w:r>
      <w:r>
        <w:rPr>
          <w:rStyle w:val="VerbatimChar"/>
        </w:rPr>
        <w:t xml:space="preserve">RDQ</w:t>
      </w:r>
      <w:r>
        <w:t xml:space="preserve"> </w:t>
      </w:r>
      <w:r>
        <w:t xml:space="preserve">缺失时用</w:t>
      </w:r>
      <w:r>
        <w:t xml:space="preserve"> </w:t>
      </w:r>
      <w:r>
        <w:rPr>
          <w:rStyle w:val="VerbatimChar"/>
        </w:rPr>
        <w:t xml:space="preserve">datadate+45</w:t>
      </w:r>
      <w:r>
        <w:t xml:space="preserve"> </w:t>
      </w:r>
      <w:r>
        <w:t xml:space="preserve">天替代；年度变量统一施加</w:t>
      </w:r>
      <w:r>
        <w:t xml:space="preserve"> </w:t>
      </w:r>
      <w:r>
        <w:rPr>
          <w:rStyle w:val="VerbatimChar"/>
        </w:rPr>
        <w:t xml:space="preserve">90</w:t>
      </w:r>
      <w:r>
        <w:t xml:space="preserve"> </w:t>
      </w:r>
      <w:r>
        <w:t xml:space="preserve">天滞后；随后通过</w:t>
      </w:r>
      <w:r>
        <w:t xml:space="preserve"> </w:t>
      </w:r>
      <w:r>
        <w:rPr>
          <w:rStyle w:val="VerbatimChar"/>
        </w:rPr>
        <w:t xml:space="preserve">merge_asof(..., direction="backward")</w:t>
      </w:r>
      <w:r>
        <w:t xml:space="preserve"> </w:t>
      </w:r>
      <w:r>
        <w:t xml:space="preserve">将财务数据映射到交易日面板，确保截面在任一日期只暴露当时已知的财务信息。</w:t>
      </w:r>
    </w:p>
    <w:p>
      <w:pPr>
        <w:pStyle w:val="BodyText"/>
      </w:pPr>
      <w:r>
        <w:t xml:space="preserve">投资组合构造采用日频横截面排序。对每个候选信号，本文在每日横截面上构建做多排名前</w:t>
      </w:r>
      <w:r>
        <w:t xml:space="preserve"> </w:t>
      </w:r>
      <w:r>
        <w:rPr>
          <w:rStyle w:val="VerbatimChar"/>
        </w:rPr>
        <w:t xml:space="preserve">20%</w:t>
      </w:r>
      <w:r>
        <w:t xml:space="preserve">、做空排名后</w:t>
      </w:r>
      <w:r>
        <w:t xml:space="preserve"> </w:t>
      </w:r>
      <w:r>
        <w:rPr>
          <w:rStyle w:val="VerbatimChar"/>
        </w:rPr>
        <w:t xml:space="preserve">20%</w:t>
      </w:r>
      <w:r>
        <w:t xml:space="preserve"> </w:t>
      </w:r>
      <w:r>
        <w:t xml:space="preserve">的多空组合，并在组内分别计算等权与市值加权结果。考虑到稀疏表达式可能只在极少数股票上非空，本文统一加入覆盖度熔断：仅当某日多头端和空头端都至少有</w:t>
      </w:r>
      <w:r>
        <w:t xml:space="preserve"> </w:t>
      </w:r>
      <w:r>
        <w:rPr>
          <w:rStyle w:val="VerbatimChar"/>
        </w:rPr>
        <w:t xml:space="preserve">5</w:t>
      </w:r>
      <w:r>
        <w:t xml:space="preserve"> </w:t>
      </w:r>
      <w:r>
        <w:t xml:space="preserve">只股票时，才允许建仓；否则该日组合收益记为</w:t>
      </w:r>
      <w:r>
        <w:t xml:space="preserve"> </w:t>
      </w:r>
      <w:r>
        <w:rPr>
          <w:rStyle w:val="VerbatimChar"/>
        </w:rPr>
        <w:t xml:space="preserve">0</w:t>
      </w:r>
      <w:r>
        <w:t xml:space="preserve">。这一规则同时适用于正文主方法和所有基线，以确保所有比较都建立在同口径的可交易约束下，而不是让某些异常解在极低覆盖率条件下偷偷退化为单边或极少数股票组合。</w:t>
      </w:r>
    </w:p>
    <w:p>
      <w:pPr>
        <w:pStyle w:val="BodyText"/>
      </w:pPr>
      <w:r>
        <w:t xml:space="preserve">评价指标分为四组。第一组是横截面排序指标，包括日均 rank-IC、分片 rank-IC 及其波动。第二组是组合收益指标，包括 Gross/Net Sharpe、年化收益、最大回撤和换手。第三组是风险调整指标，对测试期日收益序列进行 HAC 调整的 Newey-West</w:t>
      </w:r>
      <w:r>
        <w:t xml:space="preserve"> </w:t>
      </w:r>
      <m:oMath>
        <m:r>
          <m:t>t</m:t>
        </m:r>
      </m:oMath>
      <w:r>
        <w:t xml:space="preserve"> </w:t>
      </w:r>
      <w:r>
        <w:t xml:space="preserve">统计量，并以 Fama-French 五因子时间序列回归计算年化 alpha 与相应</w:t>
      </w:r>
      <w:r>
        <w:t xml:space="preserve"> </w:t>
      </w:r>
      <m:oMath>
        <m:r>
          <m:t>t</m:t>
        </m:r>
      </m:oMath>
      <w:r>
        <w:t xml:space="preserve"> </w:t>
      </w:r>
      <w:r>
        <w:t xml:space="preserve">值。这里的 FF5 alpha 统一基于上述日频多空组合收益序列估计，而不是基于 Fama-MacBeth 截面回归。第四组是覆盖度与稀疏性指标，包括非空覆盖率、可交易日占比、中位有效股票数以及收益是否集中于极少数日期等，用于识别那些看似高 Sharpe、实际上根本不满足同口径建仓条件的伪赢家。</w:t>
      </w:r>
    </w:p>
    <w:p>
      <w:pPr>
        <w:pStyle w:val="BodyText"/>
      </w:pPr>
      <w:r>
        <w:t xml:space="preserve">公开 benchmark 部分采用 Feynman-style 与 SRBench 风格任务，并在其基础上扩展出</w:t>
      </w:r>
      <w:r>
        <w:t xml:space="preserve"> </w:t>
      </w:r>
      <w:r>
        <w:rPr>
          <w:rStyle w:val="VerbatimChar"/>
        </w:rPr>
        <w:t xml:space="preserve">adversarial_support_lockin</w:t>
      </w:r>
      <w:r>
        <w:t xml:space="preserve"> </w:t>
      </w:r>
      <w:r>
        <w:t xml:space="preserve">与</w:t>
      </w:r>
      <w:r>
        <w:t xml:space="preserve"> </w:t>
      </w:r>
      <w:r>
        <w:rPr>
          <w:rStyle w:val="VerbatimChar"/>
        </w:rPr>
        <w:t xml:space="preserve">support_lockin_recovery</w:t>
      </w:r>
      <w:r>
        <w:t xml:space="preserve"> </w:t>
      </w:r>
      <w:r>
        <w:t xml:space="preserve">等失效边界任务。比较对象包括正文主方法</w:t>
      </w:r>
      <w:r>
        <w:t xml:space="preserve"> </w:t>
      </w:r>
      <w:r>
        <w:rPr>
          <w:rStyle w:val="VerbatimChar"/>
        </w:rPr>
        <w:t xml:space="preserve">legacy_linear_selector</w:t>
      </w:r>
      <w:r>
        <w:t xml:space="preserve">、</w:t>
      </w:r>
      <w:r>
        <w:rPr>
          <w:rStyle w:val="VerbatimChar"/>
        </w:rPr>
        <w:t xml:space="preserve">naive rank-IC</w:t>
      </w:r>
      <w:r>
        <w:t xml:space="preserve">、LASSO、SHAP、PySR 以及若干稳健性替代方案。对于 PySR，本文严格对齐基础特征与算子库，禁用</w:t>
      </w:r>
      <w:r>
        <w:t xml:space="preserve"> </w:t>
      </w:r>
      <w:r>
        <w:rPr>
          <w:rStyle w:val="VerbatimChar"/>
        </w:rPr>
        <w:t xml:space="preserve">sin/cos/exp</w:t>
      </w:r>
      <w:r>
        <w:t xml:space="preserve"> </w:t>
      </w:r>
      <w:r>
        <w:t xml:space="preserve">等会明显放大搜索空间的默认非线性算子；其失败因此更应被解释为默认均方误差目标与横截面排序任务之间的目标错位，而不是单纯由搜索空间不公平导致的结果。对于 SHAP，本文使用</w:t>
      </w:r>
      <w:r>
        <w:t xml:space="preserve"> </w:t>
      </w:r>
      <w:r>
        <w:rPr>
          <w:rStyle w:val="VerbatimChar"/>
        </w:rPr>
        <w:t xml:space="preserve">ExtraTreesRegressor + TreeExplainer</w:t>
      </w:r>
      <w:r>
        <w:t xml:space="preserve"> </w:t>
      </w:r>
      <w:r>
        <w:t xml:space="preserve">作为可复现代理基线。</w:t>
      </w:r>
    </w:p>
    <w:bookmarkEnd w:id="27"/>
    <w:bookmarkStart w:id="35" w:name="实证结果"/>
    <w:p>
      <w:pPr>
        <w:pStyle w:val="Heading2"/>
      </w:pPr>
      <w:r>
        <w:t xml:space="preserve">5. 实证结果</w:t>
      </w:r>
    </w:p>
    <w:bookmarkStart w:id="29" w:name="主信号表现与显著性"/>
    <w:p>
      <w:pPr>
        <w:pStyle w:val="Heading3"/>
      </w:pPr>
      <w:r>
        <w:t xml:space="preserve">5.1 主信号表现与显著性</w:t>
      </w:r>
    </w:p>
    <w:p>
      <w:pPr>
        <w:pStyle w:val="FirstParagraph"/>
      </w:pPr>
      <w:r>
        <w:t xml:space="preserve">两个股票宇宙最终都保留了同一条典型信号：</w:t>
      </w:r>
      <w:r>
        <w:rPr>
          <w:rStyle w:val="VerbatimChar"/>
        </w:rPr>
        <w:t xml:space="preserve">F* = CASH_RATIO_Q RANK PROFITABILITY_Q RANK ADD</w:t>
      </w:r>
      <w:r>
        <w:t xml:space="preserve">。如果只看等权口径，</w:t>
      </w:r>
      <w:r>
        <w:rPr>
          <w:rStyle w:val="VerbatimChar"/>
        </w:rPr>
        <w:t xml:space="preserve">liquid500</w:t>
      </w:r>
      <w:r>
        <w:t xml:space="preserve"> </w:t>
      </w:r>
      <w:r>
        <w:t xml:space="preserve">与</w:t>
      </w:r>
      <w:r>
        <w:t xml:space="preserve"> </w:t>
      </w:r>
      <w:r>
        <w:rPr>
          <w:rStyle w:val="VerbatimChar"/>
        </w:rPr>
        <w:t xml:space="preserve">liquid1000</w:t>
      </w:r>
      <w:r>
        <w:t xml:space="preserve"> </w:t>
      </w:r>
      <w:r>
        <w:t xml:space="preserve">的纯测试期 Gross Sharpe 分别为</w:t>
      </w:r>
      <w:r>
        <w:t xml:space="preserve"> </w:t>
      </w:r>
      <w:r>
        <w:rPr>
          <w:rStyle w:val="VerbatimChar"/>
        </w:rPr>
        <w:t xml:space="preserve">0.3975</w:t>
      </w:r>
      <w:r>
        <w:t xml:space="preserve"> </w:t>
      </w:r>
      <w:r>
        <w:t xml:space="preserve">与</w:t>
      </w:r>
      <w:r>
        <w:t xml:space="preserve"> </w:t>
      </w:r>
      <w:r>
        <w:rPr>
          <w:rStyle w:val="VerbatimChar"/>
        </w:rPr>
        <w:t xml:space="preserve">0.5764</w:t>
      </w:r>
      <w:r>
        <w:t xml:space="preserve">，统计显著性温和，不足以支撑</w:t>
      </w:r>
      <w:r>
        <w:t xml:space="preserve">“</w:t>
      </w:r>
      <w:r>
        <w:t xml:space="preserve">发现了强 alpha</w:t>
      </w:r>
      <w:r>
        <w:t xml:space="preserve">”</w:t>
      </w:r>
      <w:r>
        <w:t xml:space="preserve">的叙事。但这并不意味着该信号缺乏经济内容。更有解释力的事实是，在更加接近大资金可执行条件的市值加权口径下，信号表现反而明显改善：</w:t>
      </w:r>
      <w:r>
        <w:rPr>
          <w:rStyle w:val="VerbatimChar"/>
        </w:rPr>
        <w:t xml:space="preserve">liquid500</w:t>
      </w:r>
      <w:r>
        <w:t xml:space="preserve"> </w:t>
      </w:r>
      <w:r>
        <w:t xml:space="preserve">的 VW Gross/Net Sharpe 为</w:t>
      </w:r>
      <w:r>
        <w:t xml:space="preserve"> </w:t>
      </w:r>
      <w:r>
        <w:rPr>
          <w:rStyle w:val="VerbatimChar"/>
        </w:rPr>
        <w:t xml:space="preserve">0.7829/0.7216</w:t>
      </w:r>
      <w:r>
        <w:t xml:space="preserve">，</w:t>
      </w:r>
      <w:r>
        <w:rPr>
          <w:rStyle w:val="VerbatimChar"/>
        </w:rPr>
        <w:t xml:space="preserve">liquid1000</w:t>
      </w:r>
      <w:r>
        <w:t xml:space="preserve"> </w:t>
      </w:r>
      <w:r>
        <w:t xml:space="preserve">为</w:t>
      </w:r>
      <w:r>
        <w:t xml:space="preserve"> </w:t>
      </w:r>
      <w:r>
        <w:rPr>
          <w:rStyle w:val="VerbatimChar"/>
        </w:rPr>
        <w:t xml:space="preserve">0.7955/0.7338</w:t>
      </w:r>
      <w:r>
        <w:t xml:space="preserve">。即使把等权双边成本提高到</w:t>
      </w:r>
      <w:r>
        <w:t xml:space="preserve"> </w:t>
      </w:r>
      <w:r>
        <w:rPr>
          <w:rStyle w:val="VerbatimChar"/>
        </w:rPr>
        <w:t xml:space="preserve">100</w:t>
      </w:r>
      <w:r>
        <w:t xml:space="preserve"> </w:t>
      </w:r>
      <w:r>
        <w:t xml:space="preserve">bps，净 Sharpe 仍为</w:t>
      </w:r>
      <w:r>
        <w:t xml:space="preserve"> </w:t>
      </w:r>
      <w:r>
        <w:rPr>
          <w:rStyle w:val="VerbatimChar"/>
        </w:rPr>
        <w:t xml:space="preserve">0.1470</w:t>
      </w:r>
      <w:r>
        <w:t xml:space="preserve"> </w:t>
      </w:r>
      <w:r>
        <w:t xml:space="preserve">与</w:t>
      </w:r>
      <w:r>
        <w:t xml:space="preserve"> </w:t>
      </w:r>
      <w:r>
        <w:rPr>
          <w:rStyle w:val="VerbatimChar"/>
        </w:rPr>
        <w:t xml:space="preserve">0.2958</w:t>
      </w:r>
      <w:r>
        <w:t xml:space="preserve">。这说明</w:t>
      </w:r>
      <w:r>
        <w:t xml:space="preserve"> </w:t>
      </w:r>
      <w:r>
        <w:rPr>
          <w:rStyle w:val="VerbatimChar"/>
        </w:rPr>
        <w:t xml:space="preserve">F*</w:t>
      </w:r>
      <w:r>
        <w:t xml:space="preserve"> </w:t>
      </w:r>
      <w:r>
        <w:t xml:space="preserve">并不依赖微盘尾部股票支撑，而更像一类在大市值公司上定价更稳定、交易摩擦更低的防御型质量结构。</w:t>
      </w:r>
    </w:p>
    <w:p>
      <w:pPr>
        <w:pStyle w:val="BodyText"/>
      </w:pPr>
      <w:r>
        <w:rPr>
          <w:rStyle w:val="VerbatimChar"/>
        </w:rPr>
        <w:t xml:space="preserve">F*</w:t>
      </w:r>
      <w:r>
        <w:t xml:space="preserve"> </w:t>
      </w:r>
      <w:r>
        <w:t xml:space="preserve">的经济含义也与这一结果一致。</w:t>
      </w:r>
      <w:r>
        <w:rPr>
          <w:rStyle w:val="VerbatimChar"/>
        </w:rPr>
        <w:t xml:space="preserve">CASH_RATIO_Q</w:t>
      </w:r>
      <w:r>
        <w:t xml:space="preserve"> </w:t>
      </w:r>
      <w:r>
        <w:t xml:space="preserve">与</w:t>
      </w:r>
      <w:r>
        <w:t xml:space="preserve"> </w:t>
      </w:r>
      <w:r>
        <w:rPr>
          <w:rStyle w:val="VerbatimChar"/>
        </w:rPr>
        <w:t xml:space="preserve">PROFITABILITY_Q</w:t>
      </w:r>
      <w:r>
        <w:t xml:space="preserve"> </w:t>
      </w:r>
      <w:r>
        <w:t xml:space="preserve">同时刻画企业的流动性缓冲与盈利质量。对于商业模式成熟、融资渠道稳定的大盘公司，高现金与高盈利更容易对应稳健经营、较低尾部融资压力和更强抗冲击能力，因此其排名叠加更可能形成一种可交易的防御型质量溢价。相反，若在微盘股上观察到类似结构，现金高企和盈利较好并不必然意味着</w:t>
      </w:r>
      <w:r>
        <w:t xml:space="preserve">“</w:t>
      </w:r>
      <w:r>
        <w:t xml:space="preserve">优质防御</w:t>
      </w:r>
      <w:r>
        <w:t xml:space="preserve">”</w:t>
      </w:r>
      <w:r>
        <w:t xml:space="preserve">，也可能只是增长期权收缩、投资停滞或融资摩擦加剧的结果。这一逻辑正是后文双重排序中</w:t>
      </w:r>
      <w:r>
        <w:t xml:space="preserve">“</w:t>
      </w:r>
      <w:r>
        <w:t xml:space="preserve">小盘组 alpha 转弱甚至转负</w:t>
      </w:r>
      <w:r>
        <w:t xml:space="preserve">”</w:t>
      </w:r>
      <w:r>
        <w:t xml:space="preserve">的经济学来源。</w:t>
      </w:r>
    </w:p>
    <w:p>
      <w:pPr>
        <w:pStyle w:val="BodyText"/>
      </w:pPr>
      <w:r>
        <w:rPr>
          <w:bCs/>
          <w:b/>
        </w:rPr>
        <w:t xml:space="preserve">表1 美国股票横截面典型信号主结果（纯测试期，且执行覆盖度熔断）</w:t>
      </w:r>
    </w:p>
    <w:tbl>
      <w:tblPr>
        <w:tblStyle w:val="Table"/>
        <w:tblW w:type="pct" w:w="5000.0"/>
        <w:tblLook w:firstRow="1" w:lastRow="0" w:firstColumn="0" w:lastColumn="0" w:noHBand="0" w:noVBand="0" w:val="0020"/>
      </w:tblPr>
      <w:tblGrid>
        <w:gridCol w:w="440"/>
        <w:gridCol w:w="440"/>
        <w:gridCol w:w="586"/>
        <w:gridCol w:w="586"/>
        <w:gridCol w:w="586"/>
        <w:gridCol w:w="586"/>
        <w:gridCol w:w="586"/>
        <w:gridCol w:w="586"/>
        <w:gridCol w:w="586"/>
        <w:gridCol w:w="586"/>
        <w:gridCol w:w="586"/>
        <w:gridCol w:w="586"/>
        <w:gridCol w:w="586"/>
        <w:gridCol w:w="586"/>
      </w:tblGrid>
      <w:tr>
        <w:tc>
          <w:p>
            <w:pPr>
              <w:pStyle w:val="Compact"/>
              <w:jc w:val="left"/>
            </w:pPr>
            <w:r>
              <w:t xml:space="preserve">宇宙</w:t>
            </w:r>
          </w:p>
        </w:tc>
        <w:tc>
          <w:p>
            <w:pPr>
              <w:pStyle w:val="Compact"/>
              <w:jc w:val="left"/>
            </w:pPr>
            <w:r>
              <w:t xml:space="preserve">信号</w:t>
            </w:r>
          </w:p>
        </w:tc>
        <w:tc>
          <w:p>
            <w:pPr>
              <w:pStyle w:val="Compact"/>
              <w:jc w:val="right"/>
            </w:pPr>
            <w:r>
              <w:t xml:space="preserve">EW Gross Sharpe</w:t>
            </w:r>
          </w:p>
        </w:tc>
        <w:tc>
          <w:p>
            <w:pPr>
              <w:pStyle w:val="Compact"/>
              <w:jc w:val="right"/>
            </w:pPr>
            <w:r>
              <w:t xml:space="preserve">EW Net Sharpe (15bps)</w:t>
            </w:r>
          </w:p>
        </w:tc>
        <w:tc>
          <w:p>
            <w:pPr>
              <w:pStyle w:val="Compact"/>
              <w:jc w:val="right"/>
            </w:pPr>
            <w:r>
              <w:t xml:space="preserve">EW NW t</w:t>
            </w:r>
          </w:p>
        </w:tc>
        <w:tc>
          <w:p>
            <w:pPr>
              <w:pStyle w:val="Compact"/>
              <w:jc w:val="right"/>
            </w:pPr>
            <w:r>
              <w:t xml:space="preserve">EW FF5 α（年化%）</w:t>
            </w:r>
          </w:p>
        </w:tc>
        <w:tc>
          <w:p>
            <w:pPr>
              <w:pStyle w:val="Compact"/>
              <w:jc w:val="right"/>
            </w:pPr>
            <w:r>
              <w:t xml:space="preserve">EW FF5 α t</w:t>
            </w:r>
          </w:p>
        </w:tc>
        <w:tc>
          <w:p>
            <w:pPr>
              <w:pStyle w:val="Compact"/>
              <w:jc w:val="right"/>
            </w:pPr>
            <w:r>
              <w:t xml:space="preserve">VW Gross Sharpe</w:t>
            </w:r>
          </w:p>
        </w:tc>
        <w:tc>
          <w:p>
            <w:pPr>
              <w:pStyle w:val="Compact"/>
              <w:jc w:val="right"/>
            </w:pPr>
            <w:r>
              <w:t xml:space="preserve">VW Net Sharpe (15bps)</w:t>
            </w:r>
          </w:p>
        </w:tc>
        <w:tc>
          <w:p>
            <w:pPr>
              <w:pStyle w:val="Compact"/>
              <w:jc w:val="right"/>
            </w:pPr>
            <w:r>
              <w:t xml:space="preserve">VW FF5 α（年化%）</w:t>
            </w:r>
          </w:p>
        </w:tc>
        <w:tc>
          <w:p>
            <w:pPr>
              <w:pStyle w:val="Compact"/>
              <w:jc w:val="right"/>
            </w:pPr>
            <w:r>
              <w:t xml:space="preserve">VW FF5 α t</w:t>
            </w:r>
          </w:p>
        </w:tc>
        <w:tc>
          <w:p>
            <w:pPr>
              <w:pStyle w:val="Compact"/>
              <w:jc w:val="right"/>
            </w:pPr>
            <w:r>
              <w:t xml:space="preserve">EW Net Sharpe (100bps)</w:t>
            </w:r>
          </w:p>
        </w:tc>
        <w:tc>
          <w:p>
            <w:pPr>
              <w:pStyle w:val="Compact"/>
              <w:jc w:val="right"/>
            </w:pPr>
            <w:r>
              <w:t xml:space="preserve">覆盖率</w:t>
            </w:r>
          </w:p>
        </w:tc>
        <w:tc>
          <w:p>
            <w:pPr>
              <w:pStyle w:val="Compact"/>
              <w:jc w:val="right"/>
            </w:pPr>
            <w:r>
              <w:t xml:space="preserve">换手</w:t>
            </w:r>
          </w:p>
        </w:tc>
      </w:tr>
      <w:tr>
        <w:tc>
          <w:p>
            <w:pPr>
              <w:pStyle w:val="Compact"/>
              <w:jc w:val="left"/>
            </w:pPr>
            <w:r>
              <w:t xml:space="preserve">liquid500</w:t>
            </w:r>
          </w:p>
        </w:tc>
        <w:tc>
          <w:p>
            <w:pPr>
              <w:pStyle w:val="Compact"/>
              <w:jc w:val="left"/>
            </w:pPr>
            <w:r>
              <w:rPr>
                <w:rStyle w:val="VerbatimChar"/>
              </w:rPr>
              <w:t xml:space="preserve">F*</w:t>
            </w:r>
          </w:p>
        </w:tc>
        <w:tc>
          <w:p>
            <w:pPr>
              <w:pStyle w:val="Compact"/>
              <w:jc w:val="right"/>
            </w:pPr>
            <w:r>
              <w:t xml:space="preserve">0.3975</w:t>
            </w:r>
          </w:p>
        </w:tc>
        <w:tc>
          <w:p>
            <w:pPr>
              <w:pStyle w:val="Compact"/>
              <w:jc w:val="right"/>
            </w:pPr>
            <w:r>
              <w:t xml:space="preserve">0.3599</w:t>
            </w:r>
          </w:p>
        </w:tc>
        <w:tc>
          <w:p>
            <w:pPr>
              <w:pStyle w:val="Compact"/>
              <w:jc w:val="right"/>
            </w:pPr>
            <w:r>
              <w:t xml:space="preserve">0.1492</w:t>
            </w:r>
          </w:p>
        </w:tc>
        <w:tc>
          <w:p>
            <w:pPr>
              <w:pStyle w:val="Compact"/>
              <w:jc w:val="right"/>
            </w:pPr>
            <w:r>
              <w:t xml:space="preserve">0.87</w:t>
            </w:r>
          </w:p>
        </w:tc>
        <w:tc>
          <w:p>
            <w:pPr>
              <w:pStyle w:val="Compact"/>
              <w:jc w:val="right"/>
            </w:pPr>
            <w:r>
              <w:t xml:space="preserve">0.3086</w:t>
            </w:r>
          </w:p>
        </w:tc>
        <w:tc>
          <w:p>
            <w:pPr>
              <w:pStyle w:val="Compact"/>
              <w:jc w:val="right"/>
            </w:pPr>
            <w:r>
              <w:t xml:space="preserve">0.7829</w:t>
            </w:r>
          </w:p>
        </w:tc>
        <w:tc>
          <w:p>
            <w:pPr>
              <w:pStyle w:val="Compact"/>
              <w:jc w:val="right"/>
            </w:pPr>
            <w:r>
              <w:t xml:space="preserve">0.7216</w:t>
            </w:r>
          </w:p>
        </w:tc>
        <w:tc>
          <w:p>
            <w:pPr>
              <w:pStyle w:val="Compact"/>
              <w:jc w:val="right"/>
            </w:pPr>
            <w:r>
              <w:t xml:space="preserve">4.73</w:t>
            </w:r>
          </w:p>
        </w:tc>
        <w:tc>
          <w:p>
            <w:pPr>
              <w:pStyle w:val="Compact"/>
              <w:jc w:val="right"/>
            </w:pPr>
            <w:r>
              <w:t xml:space="preserve">1.5491</w:t>
            </w:r>
          </w:p>
        </w:tc>
        <w:tc>
          <w:p>
            <w:pPr>
              <w:pStyle w:val="Compact"/>
              <w:jc w:val="right"/>
            </w:pPr>
            <w:r>
              <w:t xml:space="preserve">0.1470</w:t>
            </w:r>
          </w:p>
        </w:tc>
        <w:tc>
          <w:p>
            <w:pPr>
              <w:pStyle w:val="Compact"/>
              <w:jc w:val="right"/>
            </w:pPr>
            <w:r>
              <w:t xml:space="preserve">0.9932</w:t>
            </w:r>
          </w:p>
        </w:tc>
        <w:tc>
          <w:p>
            <w:pPr>
              <w:pStyle w:val="Compact"/>
              <w:jc w:val="right"/>
            </w:pPr>
            <w:r>
              <w:t xml:space="preserve">0.0081</w:t>
            </w:r>
          </w:p>
        </w:tc>
      </w:tr>
      <w:tr>
        <w:tc>
          <w:p>
            <w:pPr>
              <w:pStyle w:val="Compact"/>
              <w:jc w:val="left"/>
            </w:pPr>
            <w:r>
              <w:t xml:space="preserve">liquid1000</w:t>
            </w:r>
          </w:p>
        </w:tc>
        <w:tc>
          <w:p>
            <w:pPr>
              <w:pStyle w:val="Compact"/>
              <w:jc w:val="left"/>
            </w:pPr>
            <w:r>
              <w:rPr>
                <w:rStyle w:val="VerbatimChar"/>
              </w:rPr>
              <w:t xml:space="preserve">F*</w:t>
            </w:r>
          </w:p>
        </w:tc>
        <w:tc>
          <w:p>
            <w:pPr>
              <w:pStyle w:val="Compact"/>
              <w:jc w:val="right"/>
            </w:pPr>
            <w:r>
              <w:t xml:space="preserve">0.5764</w:t>
            </w:r>
          </w:p>
        </w:tc>
        <w:tc>
          <w:p>
            <w:pPr>
              <w:pStyle w:val="Compact"/>
              <w:jc w:val="right"/>
            </w:pPr>
            <w:r>
              <w:t xml:space="preserve">0.5343</w:t>
            </w:r>
          </w:p>
        </w:tc>
        <w:tc>
          <w:p>
            <w:pPr>
              <w:pStyle w:val="Compact"/>
              <w:jc w:val="right"/>
            </w:pPr>
            <w:r>
              <w:t xml:space="preserve">0.5547</w:t>
            </w:r>
          </w:p>
        </w:tc>
        <w:tc>
          <w:p>
            <w:pPr>
              <w:pStyle w:val="Compact"/>
              <w:jc w:val="right"/>
            </w:pPr>
            <w:r>
              <w:t xml:space="preserve">1.81</w:t>
            </w:r>
          </w:p>
        </w:tc>
        <w:tc>
          <w:p>
            <w:pPr>
              <w:pStyle w:val="Compact"/>
              <w:jc w:val="right"/>
            </w:pPr>
            <w:r>
              <w:t xml:space="preserve">0.7127</w:t>
            </w:r>
          </w:p>
        </w:tc>
        <w:tc>
          <w:p>
            <w:pPr>
              <w:pStyle w:val="Compact"/>
              <w:jc w:val="right"/>
            </w:pPr>
            <w:r>
              <w:t xml:space="preserve">0.7955</w:t>
            </w:r>
          </w:p>
        </w:tc>
        <w:tc>
          <w:p>
            <w:pPr>
              <w:pStyle w:val="Compact"/>
              <w:jc w:val="right"/>
            </w:pPr>
            <w:r>
              <w:t xml:space="preserve">0.7338</w:t>
            </w:r>
          </w:p>
        </w:tc>
        <w:tc>
          <w:p>
            <w:pPr>
              <w:pStyle w:val="Compact"/>
              <w:jc w:val="right"/>
            </w:pPr>
            <w:r>
              <w:t xml:space="preserve">4.51</w:t>
            </w:r>
          </w:p>
        </w:tc>
        <w:tc>
          <w:p>
            <w:pPr>
              <w:pStyle w:val="Compact"/>
              <w:jc w:val="right"/>
            </w:pPr>
            <w:r>
              <w:t xml:space="preserve">1.5427</w:t>
            </w:r>
          </w:p>
        </w:tc>
        <w:tc>
          <w:p>
            <w:pPr>
              <w:pStyle w:val="Compact"/>
              <w:jc w:val="right"/>
            </w:pPr>
            <w:r>
              <w:t xml:space="preserve">0.2958</w:t>
            </w:r>
          </w:p>
        </w:tc>
        <w:tc>
          <w:p>
            <w:pPr>
              <w:pStyle w:val="Compact"/>
              <w:jc w:val="right"/>
            </w:pPr>
            <w:r>
              <w:t xml:space="preserve">0.9957</w:t>
            </w:r>
          </w:p>
        </w:tc>
        <w:tc>
          <w:p>
            <w:pPr>
              <w:pStyle w:val="Compact"/>
              <w:jc w:val="right"/>
            </w:pPr>
            <w:r>
              <w:t xml:space="preserve">0.0082</w:t>
            </w:r>
          </w:p>
        </w:tc>
      </w:tr>
    </w:tbl>
    <w:p>
      <w:pPr>
        <w:pStyle w:val="BodyText"/>
      </w:pPr>
      <w:r>
        <w:t xml:space="preserve">如果把信号与公司规模结合起来看，交易可行性与经济机制会更加清楚。按规模和信号强度做双重排序后，市值加权优势主要集中在中大盘组合。</w:t>
      </w:r>
      <w:r>
        <w:rPr>
          <w:rStyle w:val="VerbatimChar"/>
        </w:rPr>
        <w:t xml:space="preserve">liquid500</w:t>
      </w:r>
      <w:r>
        <w:t xml:space="preserve"> </w:t>
      </w:r>
      <w:r>
        <w:t xml:space="preserve">中，VW 净 Sharpe 从</w:t>
      </w:r>
      <w:r>
        <w:t xml:space="preserve"> </w:t>
      </w:r>
      <w:r>
        <w:rPr>
          <w:rStyle w:val="VerbatimChar"/>
        </w:rPr>
        <w:t xml:space="preserve">Small/Mid/Large</w:t>
      </w:r>
      <w:r>
        <w:t xml:space="preserve"> </w:t>
      </w:r>
      <w:r>
        <w:t xml:space="preserve">组的</w:t>
      </w:r>
      <w:r>
        <w:t xml:space="preserve"> </w:t>
      </w:r>
      <w:r>
        <w:rPr>
          <w:rStyle w:val="VerbatimChar"/>
        </w:rPr>
        <w:t xml:space="preserve">0.3813/0.3875/0.6855</w:t>
      </w:r>
      <w:r>
        <w:t xml:space="preserve"> </w:t>
      </w:r>
      <w:r>
        <w:t xml:space="preserve">逐步抬升；</w:t>
      </w:r>
      <w:r>
        <w:rPr>
          <w:rStyle w:val="VerbatimChar"/>
        </w:rPr>
        <w:t xml:space="preserve">liquid1000</w:t>
      </w:r>
      <w:r>
        <w:t xml:space="preserve"> </w:t>
      </w:r>
      <w:r>
        <w:t xml:space="preserve">中，这一模式更明显，对应数值为</w:t>
      </w:r>
      <w:r>
        <w:t xml:space="preserve"> </w:t>
      </w:r>
      <w:r>
        <w:rPr>
          <w:rStyle w:val="VerbatimChar"/>
        </w:rPr>
        <w:t xml:space="preserve">0.0347/0.7179/0.7221</w:t>
      </w:r>
      <w:r>
        <w:t xml:space="preserve">。同样地，五因子调整后的年化 alpha 也从小盘组的弱甚至为负，提升到大盘组的明显正值。这说明</w:t>
      </w:r>
      <w:r>
        <w:t xml:space="preserve"> </w:t>
      </w:r>
      <w:r>
        <w:rPr>
          <w:rStyle w:val="VerbatimChar"/>
        </w:rPr>
        <w:t xml:space="preserve">F*</w:t>
      </w:r>
      <w:r>
        <w:t xml:space="preserve"> </w:t>
      </w:r>
      <w:r>
        <w:t xml:space="preserve">并非通过微盘流动性幻觉制造收益，而是在大市值公司中更稳定地映射为一种防御型质量结构。</w:t>
      </w:r>
    </w:p>
    <w:p>
      <w:pPr>
        <w:pStyle w:val="BodyText"/>
      </w:pPr>
      <w:r>
        <w:rPr>
          <w:bCs/>
          <w:b/>
        </w:rPr>
        <w:t xml:space="preserve">表2 基于公司规模与信号强度的双重排序结果（15bps 净口径）</w:t>
      </w:r>
    </w:p>
    <w:tbl>
      <w:tblPr>
        <w:tblStyle w:val="Table"/>
        <w:tblW w:type="pct" w:w="0.0"/>
        <w:tblLook w:firstRow="1" w:lastRow="0" w:firstColumn="0" w:lastColumn="0" w:noHBand="0" w:noVBand="0" w:val="0020"/>
      </w:tblPr>
      <w:tblGrid/>
      <w:tr>
        <w:tc>
          <w:p>
            <w:pPr>
              <w:pStyle w:val="Compact"/>
              <w:jc w:val="left"/>
            </w:pPr>
            <w:r>
              <w:t xml:space="preserve">宇宙</w:t>
            </w:r>
          </w:p>
        </w:tc>
        <w:tc>
          <w:p>
            <w:pPr>
              <w:pStyle w:val="Compact"/>
              <w:jc w:val="left"/>
            </w:pPr>
            <w:r>
              <w:t xml:space="preserve">权重</w:t>
            </w:r>
          </w:p>
        </w:tc>
        <w:tc>
          <w:p>
            <w:pPr>
              <w:pStyle w:val="Compact"/>
              <w:jc w:val="left"/>
            </w:pPr>
            <w:r>
              <w:t xml:space="preserve">Small</w:t>
            </w:r>
          </w:p>
        </w:tc>
        <w:tc>
          <w:p>
            <w:pPr>
              <w:pStyle w:val="Compact"/>
              <w:jc w:val="left"/>
            </w:pPr>
            <w:r>
              <w:t xml:space="preserve">Mid</w:t>
            </w:r>
          </w:p>
        </w:tc>
        <w:tc>
          <w:p>
            <w:pPr>
              <w:pStyle w:val="Compact"/>
              <w:jc w:val="left"/>
            </w:pPr>
            <w:r>
              <w:t xml:space="preserve">Large</w:t>
            </w:r>
          </w:p>
        </w:tc>
      </w:tr>
      <w:tr>
        <w:tc>
          <w:p>
            <w:pPr>
              <w:pStyle w:val="Compact"/>
              <w:jc w:val="left"/>
            </w:pPr>
            <w:r>
              <w:t xml:space="preserve">liquid500</w:t>
            </w:r>
          </w:p>
        </w:tc>
        <w:tc>
          <w:p>
            <w:pPr>
              <w:pStyle w:val="Compact"/>
              <w:jc w:val="left"/>
            </w:pPr>
            <w:r>
              <w:t xml:space="preserve">VW N.Sharpe</w:t>
            </w:r>
          </w:p>
        </w:tc>
        <w:tc>
          <w:p>
            <w:pPr>
              <w:pStyle w:val="Compact"/>
              <w:jc w:val="left"/>
            </w:pPr>
            <w:r>
              <w:t xml:space="preserve">0.3813</w:t>
            </w:r>
          </w:p>
        </w:tc>
        <w:tc>
          <w:p>
            <w:pPr>
              <w:pStyle w:val="Compact"/>
              <w:jc w:val="left"/>
            </w:pPr>
            <w:r>
              <w:t xml:space="preserve">0.3875</w:t>
            </w:r>
          </w:p>
        </w:tc>
        <w:tc>
          <w:p>
            <w:pPr>
              <w:pStyle w:val="Compact"/>
              <w:jc w:val="left"/>
            </w:pPr>
            <w:r>
              <w:t xml:space="preserve">0.6855</w:t>
            </w:r>
          </w:p>
        </w:tc>
      </w:tr>
      <w:tr>
        <w:tc>
          <w:p>
            <w:pPr>
              <w:pStyle w:val="Compact"/>
              <w:jc w:val="left"/>
            </w:pPr>
            <w:r>
              <w:t xml:space="preserve">liquid500</w:t>
            </w:r>
          </w:p>
        </w:tc>
        <w:tc>
          <w:p>
            <w:pPr>
              <w:pStyle w:val="Compact"/>
              <w:jc w:val="left"/>
            </w:pPr>
            <w:r>
              <w:t xml:space="preserve">VW Net FF5 α（年化%）</w:t>
            </w:r>
          </w:p>
        </w:tc>
        <w:tc>
          <w:p>
            <w:pPr>
              <w:pStyle w:val="Compact"/>
              <w:jc w:val="left"/>
            </w:pPr>
            <w:r>
              <w:t xml:space="preserve">0.28</w:t>
            </w:r>
          </w:p>
        </w:tc>
        <w:tc>
          <w:p>
            <w:pPr>
              <w:pStyle w:val="Compact"/>
              <w:jc w:val="left"/>
            </w:pPr>
            <w:r>
              <w:t xml:space="preserve">-0.23</w:t>
            </w:r>
          </w:p>
        </w:tc>
        <w:tc>
          <w:p>
            <w:pPr>
              <w:pStyle w:val="Compact"/>
              <w:jc w:val="left"/>
            </w:pPr>
            <w:r>
              <w:t xml:space="preserve">2.73</w:t>
            </w:r>
          </w:p>
        </w:tc>
      </w:tr>
      <w:tr>
        <w:tc>
          <w:p>
            <w:pPr>
              <w:pStyle w:val="Compact"/>
              <w:jc w:val="left"/>
            </w:pPr>
            <w:r>
              <w:t xml:space="preserve">liquid500</w:t>
            </w:r>
          </w:p>
        </w:tc>
        <w:tc>
          <w:p>
            <w:pPr>
              <w:pStyle w:val="Compact"/>
              <w:jc w:val="left"/>
            </w:pPr>
            <w:r>
              <w:t xml:space="preserve">VW Net FF5 α t</w:t>
            </w:r>
          </w:p>
        </w:tc>
        <w:tc>
          <w:p>
            <w:pPr>
              <w:pStyle w:val="Compact"/>
              <w:jc w:val="left"/>
            </w:pPr>
            <w:r>
              <w:t xml:space="preserve">0.0966</w:t>
            </w:r>
          </w:p>
        </w:tc>
        <w:tc>
          <w:p>
            <w:pPr>
              <w:pStyle w:val="Compact"/>
              <w:jc w:val="left"/>
            </w:pPr>
            <w:r>
              <w:t xml:space="preserve">-0.1083</w:t>
            </w:r>
          </w:p>
        </w:tc>
        <w:tc>
          <w:p>
            <w:pPr>
              <w:pStyle w:val="Compact"/>
              <w:jc w:val="left"/>
            </w:pPr>
            <w:r>
              <w:t xml:space="preserve">1.0972</w:t>
            </w:r>
          </w:p>
        </w:tc>
      </w:tr>
      <w:tr>
        <w:tc>
          <w:p>
            <w:pPr>
              <w:pStyle w:val="Compact"/>
              <w:jc w:val="left"/>
            </w:pPr>
            <w:r>
              <w:t xml:space="preserve">liquid1000</w:t>
            </w:r>
          </w:p>
        </w:tc>
        <w:tc>
          <w:p>
            <w:pPr>
              <w:pStyle w:val="Compact"/>
              <w:jc w:val="left"/>
            </w:pPr>
            <w:r>
              <w:t xml:space="preserve">VW N.Sharpe</w:t>
            </w:r>
          </w:p>
        </w:tc>
        <w:tc>
          <w:p>
            <w:pPr>
              <w:pStyle w:val="Compact"/>
              <w:jc w:val="left"/>
            </w:pPr>
            <w:r>
              <w:t xml:space="preserve">0.0347</w:t>
            </w:r>
          </w:p>
        </w:tc>
        <w:tc>
          <w:p>
            <w:pPr>
              <w:pStyle w:val="Compact"/>
              <w:jc w:val="left"/>
            </w:pPr>
            <w:r>
              <w:t xml:space="preserve">0.7179</w:t>
            </w:r>
          </w:p>
        </w:tc>
        <w:tc>
          <w:p>
            <w:pPr>
              <w:pStyle w:val="Compact"/>
              <w:jc w:val="left"/>
            </w:pPr>
            <w:r>
              <w:t xml:space="preserve">0.7221</w:t>
            </w:r>
          </w:p>
        </w:tc>
      </w:tr>
      <w:tr>
        <w:tc>
          <w:p>
            <w:pPr>
              <w:pStyle w:val="Compact"/>
              <w:jc w:val="left"/>
            </w:pPr>
            <w:r>
              <w:t xml:space="preserve">liquid1000</w:t>
            </w:r>
          </w:p>
        </w:tc>
        <w:tc>
          <w:p>
            <w:pPr>
              <w:pStyle w:val="Compact"/>
              <w:jc w:val="left"/>
            </w:pPr>
            <w:r>
              <w:t xml:space="preserve">VW Net FF5 α（年化%）</w:t>
            </w:r>
          </w:p>
        </w:tc>
        <w:tc>
          <w:p>
            <w:pPr>
              <w:pStyle w:val="Compact"/>
              <w:jc w:val="left"/>
            </w:pPr>
            <w:r>
              <w:t xml:space="preserve">-2.49</w:t>
            </w:r>
          </w:p>
        </w:tc>
        <w:tc>
          <w:p>
            <w:pPr>
              <w:pStyle w:val="Compact"/>
              <w:jc w:val="left"/>
            </w:pPr>
            <w:r>
              <w:t xml:space="preserve">2.02</w:t>
            </w:r>
          </w:p>
        </w:tc>
        <w:tc>
          <w:p>
            <w:pPr>
              <w:pStyle w:val="Compact"/>
              <w:jc w:val="left"/>
            </w:pPr>
            <w:r>
              <w:t xml:space="preserve">2.58</w:t>
            </w:r>
          </w:p>
        </w:tc>
      </w:tr>
      <w:tr>
        <w:tc>
          <w:p>
            <w:pPr>
              <w:pStyle w:val="Compact"/>
              <w:jc w:val="left"/>
            </w:pPr>
            <w:r>
              <w:t xml:space="preserve">liquid1000</w:t>
            </w:r>
          </w:p>
        </w:tc>
        <w:tc>
          <w:p>
            <w:pPr>
              <w:pStyle w:val="Compact"/>
              <w:jc w:val="left"/>
            </w:pPr>
            <w:r>
              <w:t xml:space="preserve">VW Net FF5 α t</w:t>
            </w:r>
          </w:p>
        </w:tc>
        <w:tc>
          <w:p>
            <w:pPr>
              <w:pStyle w:val="Compact"/>
              <w:jc w:val="left"/>
            </w:pPr>
            <w:r>
              <w:t xml:space="preserve">-1.1103</w:t>
            </w:r>
          </w:p>
        </w:tc>
        <w:tc>
          <w:p>
            <w:pPr>
              <w:pStyle w:val="Compact"/>
              <w:jc w:val="left"/>
            </w:pPr>
            <w:r>
              <w:t xml:space="preserve">0.9112</w:t>
            </w:r>
          </w:p>
        </w:tc>
        <w:tc>
          <w:p>
            <w:pPr>
              <w:pStyle w:val="Compact"/>
              <w:jc w:val="left"/>
            </w:pPr>
            <w:r>
              <w:t xml:space="preserve">1.0949</w:t>
            </w:r>
          </w:p>
        </w:tc>
      </w:tr>
    </w:tbl>
    <w:p>
      <w:pPr>
        <w:pStyle w:val="CaptionedFigure"/>
      </w:pPr>
      <w:r>
        <w:drawing>
          <wp:inline>
            <wp:extent cx="5486400" cy="3665819"/>
            <wp:effectExtent b="0" l="0" r="0" t="0"/>
            <wp:docPr descr="图6 主信号与典型伪赢家的前向滚动表现对比" title="" id="1" name="Picture"/>
            <a:graphic>
              <a:graphicData uri="http://schemas.openxmlformats.org/drawingml/2006/picture">
                <pic:pic>
                  <pic:nvPicPr>
                    <pic:cNvPr descr="figures/chinese_report_figure_6_cumulative_return.png" id="0" name="Picture"/>
                    <pic:cNvPicPr>
                      <a:picLocks noChangeArrowheads="1" noChangeAspect="1"/>
                    </pic:cNvPicPr>
                  </pic:nvPicPr>
                  <pic:blipFill>
                    <a:blip r:embed="rId28"/>
                    <a:stretch>
                      <a:fillRect/>
                    </a:stretch>
                  </pic:blipFill>
                  <pic:spPr bwMode="auto">
                    <a:xfrm>
                      <a:off x="0" y="0"/>
                      <a:ext cx="5486400" cy="3665819"/>
                    </a:xfrm>
                    <a:prstGeom prst="rect">
                      <a:avLst/>
                    </a:prstGeom>
                    <a:noFill/>
                    <a:ln w="9525">
                      <a:noFill/>
                      <a:headEnd/>
                      <a:tailEnd/>
                    </a:ln>
                  </pic:spPr>
                </pic:pic>
              </a:graphicData>
            </a:graphic>
          </wp:inline>
        </w:drawing>
      </w:r>
    </w:p>
    <w:p>
      <w:pPr>
        <w:pStyle w:val="ImageCaption"/>
      </w:pPr>
      <w:r>
        <w:t xml:space="preserve">图6 主信号与典型伪赢家的前向滚动表现对比</w:t>
      </w:r>
    </w:p>
    <w:p>
      <w:pPr>
        <w:pStyle w:val="BodyText"/>
      </w:pPr>
      <w:r>
        <w:t xml:space="preserve">条件状态检验提供了进一步但更克制的支持。本文不再采用事后挑选的危机日期，而是使用事前可观测的 VIX 指标：对每个测试日，先根据此前</w:t>
      </w:r>
      <w:r>
        <w:t xml:space="preserve"> </w:t>
      </w:r>
      <w:r>
        <w:rPr>
          <w:rStyle w:val="VerbatimChar"/>
        </w:rPr>
        <w:t xml:space="preserve">252</w:t>
      </w:r>
      <w:r>
        <w:t xml:space="preserve"> </w:t>
      </w:r>
      <w:r>
        <w:t xml:space="preserve">个交易日的 VIX 历史分布计算</w:t>
      </w:r>
      <w:r>
        <w:t xml:space="preserve"> </w:t>
      </w:r>
      <w:r>
        <w:rPr>
          <w:rStyle w:val="VerbatimChar"/>
        </w:rPr>
        <w:t xml:space="preserve">80%</w:t>
      </w:r>
      <w:r>
        <w:t xml:space="preserve"> </w:t>
      </w:r>
      <w:r>
        <w:t xml:space="preserve">分位阈值，再将当日划分为高压力状态或平稳状态。在这一规则下，</w:t>
      </w:r>
      <w:r>
        <w:rPr>
          <w:rStyle w:val="VerbatimChar"/>
        </w:rPr>
        <w:t xml:space="preserve">F*</w:t>
      </w:r>
      <w:r>
        <w:t xml:space="preserve"> </w:t>
      </w:r>
      <w:r>
        <w:t xml:space="preserve">在高 VIX 状态下的点估计明显更强：</w:t>
      </w:r>
      <w:r>
        <w:rPr>
          <w:rStyle w:val="VerbatimChar"/>
        </w:rPr>
        <w:t xml:space="preserve">liquid500</w:t>
      </w:r>
      <w:r>
        <w:t xml:space="preserve"> </w:t>
      </w:r>
      <w:r>
        <w:t xml:space="preserve">的 EW/VW Sharpe 为</w:t>
      </w:r>
      <w:r>
        <w:t xml:space="preserve"> </w:t>
      </w:r>
      <w:r>
        <w:rPr>
          <w:rStyle w:val="VerbatimChar"/>
        </w:rPr>
        <w:t xml:space="preserve">1.0031/1.2042</w:t>
      </w:r>
      <w:r>
        <w:t xml:space="preserve">，平稳期仅为</w:t>
      </w:r>
      <w:r>
        <w:t xml:space="preserve"> </w:t>
      </w:r>
      <w:r>
        <w:rPr>
          <w:rStyle w:val="VerbatimChar"/>
        </w:rPr>
        <w:t xml:space="preserve">0.2191/0.6596</w:t>
      </w:r>
      <w:r>
        <w:t xml:space="preserve">；</w:t>
      </w:r>
      <w:r>
        <w:rPr>
          <w:rStyle w:val="VerbatimChar"/>
        </w:rPr>
        <w:t xml:space="preserve">liquid1000</w:t>
      </w:r>
      <w:r>
        <w:t xml:space="preserve"> </w:t>
      </w:r>
      <w:r>
        <w:t xml:space="preserve">的 EW/VW Sharpe 为</w:t>
      </w:r>
      <w:r>
        <w:t xml:space="preserve"> </w:t>
      </w:r>
      <w:r>
        <w:rPr>
          <w:rStyle w:val="VerbatimChar"/>
        </w:rPr>
        <w:t xml:space="preserve">1.2767/1.3233</w:t>
      </w:r>
      <w:r>
        <w:t xml:space="preserve">，平稳期为</w:t>
      </w:r>
      <w:r>
        <w:t xml:space="preserve"> </w:t>
      </w:r>
      <w:r>
        <w:rPr>
          <w:rStyle w:val="VerbatimChar"/>
        </w:rPr>
        <w:t xml:space="preserve">0.3681/0.6358</w:t>
      </w:r>
      <w:r>
        <w:t xml:space="preserve">。对应的条件回归设定为</w:t>
      </w:r>
    </w:p>
    <w:p>
      <w:pPr>
        <w:pStyle w:val="BodyText"/>
      </w:pPr>
      <w:r>
        <w:t xml:space="preserve">$$</w:t>
      </w:r>
    </w:p>
    <w:p>
      <w:pPr>
        <w:pStyle w:val="BodyText"/>
      </w:pPr>
      <w:r>
        <w:t xml:space="preserve">R_{F^*,t}=</w:t>
      </w:r>
      <w:r>
        <w:rPr>
          <w:iCs/>
          <w:i/>
        </w:rPr>
        <w:t xml:space="preserve">0+</w:t>
      </w:r>
      <w:r>
        <w:t xml:space="preserve">{</w:t>
      </w:r>
      <w:r>
        <w:t xml:space="preserve">}</w:t>
      </w:r>
      <w:r>
        <w:t xml:space="preserve">_{</w:t>
      </w:r>
      <w:r>
        <w:t xml:space="preserve">,t}+</w:t>
      </w:r>
      <w:r>
        <w:t xml:space="preserve">_t,</w:t>
      </w:r>
      <w:r>
        <w:t xml:space="preserve"> </w:t>
      </w:r>
      <w:r>
        <w:t xml:space="preserve">$$</w:t>
      </w:r>
    </w:p>
    <w:p>
      <w:pPr>
        <w:pStyle w:val="BodyText"/>
      </w:pPr>
      <w:r>
        <w:t xml:space="preserve">（7）</w:t>
      </w:r>
    </w:p>
    <w:p>
      <w:pPr>
        <w:pStyle w:val="BodyText"/>
      </w:pPr>
      <w:r>
        <w:t xml:space="preserve">其中</w:t>
      </w:r>
      <w:r>
        <w:t xml:space="preserve"> </w:t>
      </w:r>
      <m:oMath>
        <m:sSub>
          <m:e>
            <m:r>
              <m:t>α</m:t>
            </m:r>
          </m:e>
          <m:sub>
            <m:r>
              <m:rPr>
                <m:nor/>
                <m:sty m:val="p"/>
              </m:rPr>
              <m:t>crisis</m:t>
            </m:r>
          </m:sub>
        </m:sSub>
      </m:oMath>
      <w:r>
        <w:t xml:space="preserve"> </w:t>
      </w:r>
      <w:r>
        <w:t xml:space="preserve">统一转化为年化百分比口径。HAC 回归显示，高压力虚拟变量的年化系数在两个宇宙上均为正，但统计显著性温和：</w:t>
      </w:r>
      <w:r>
        <w:rPr>
          <w:rStyle w:val="VerbatimChar"/>
        </w:rPr>
        <w:t xml:space="preserve">liquid500</w:t>
      </w:r>
      <w:r>
        <w:t xml:space="preserve"> </w:t>
      </w:r>
      <w:r>
        <w:t xml:space="preserve">的 VW 系数为</w:t>
      </w:r>
      <w:r>
        <w:t xml:space="preserve"> </w:t>
      </w:r>
      <w:r>
        <w:rPr>
          <w:rStyle w:val="VerbatimChar"/>
        </w:rPr>
        <w:t xml:space="preserve">0.0887</w:t>
      </w:r>
      <w:r>
        <w:t xml:space="preserve">、</w:t>
      </w:r>
      <w:r>
        <w:rPr>
          <w:rStyle w:val="VerbatimChar"/>
        </w:rPr>
        <w:t xml:space="preserve">t=0.9198</w:t>
      </w:r>
      <w:r>
        <w:t xml:space="preserve">，</w:t>
      </w:r>
      <w:r>
        <w:rPr>
          <w:rStyle w:val="VerbatimChar"/>
        </w:rPr>
        <w:t xml:space="preserve">liquid1000</w:t>
      </w:r>
      <w:r>
        <w:t xml:space="preserve"> </w:t>
      </w:r>
      <w:r>
        <w:t xml:space="preserve">为</w:t>
      </w:r>
      <w:r>
        <w:t xml:space="preserve"> </w:t>
      </w:r>
      <w:r>
        <w:rPr>
          <w:rStyle w:val="VerbatimChar"/>
        </w:rPr>
        <w:t xml:space="preserve">0.1033</w:t>
      </w:r>
      <w:r>
        <w:t xml:space="preserve">、</w:t>
      </w:r>
      <w:r>
        <w:rPr>
          <w:rStyle w:val="VerbatimChar"/>
        </w:rPr>
        <w:t xml:space="preserve">t=1.1058</w:t>
      </w:r>
      <w:r>
        <w:t xml:space="preserve">。因此，本文更愿意将其解释为</w:t>
      </w:r>
      <w:r>
        <w:t xml:space="preserve">“</w:t>
      </w:r>
      <w:r>
        <w:t xml:space="preserve">在高压力环境下点估计更强的防御型结构</w:t>
      </w:r>
      <w:r>
        <w:t xml:space="preserve">”</w:t>
      </w:r>
      <w:r>
        <w:t xml:space="preserve">，而不是夸大为</w:t>
      </w:r>
      <w:r>
        <w:t xml:space="preserve">“</w:t>
      </w:r>
      <w:r>
        <w:t xml:space="preserve">显著的危机保险信号</w:t>
      </w:r>
      <w:r>
        <w:t xml:space="preserve">”</w:t>
      </w:r>
      <w:r>
        <w:t xml:space="preserve">。</w:t>
      </w:r>
    </w:p>
    <w:bookmarkEnd w:id="29"/>
    <w:bookmarkStart w:id="30" w:name="伪赢家过滤与稀疏异常解"/>
    <w:p>
      <w:pPr>
        <w:pStyle w:val="Heading3"/>
      </w:pPr>
      <w:r>
        <w:t xml:space="preserve">5.2 伪赢家过滤与稀疏异常解</w:t>
      </w:r>
    </w:p>
    <w:p>
      <w:pPr>
        <w:pStyle w:val="FirstParagraph"/>
      </w:pPr>
      <w:r>
        <w:t xml:space="preserve">本文最有力的证据来自对伪赢家的剖解。不同基线会失败，但失败的形式并不相同。</w:t>
      </w:r>
      <w:r>
        <w:rPr>
          <w:rStyle w:val="VerbatimChar"/>
        </w:rPr>
        <w:t xml:space="preserve">liquid500</w:t>
      </w:r>
      <w:r>
        <w:t xml:space="preserve"> </w:t>
      </w:r>
      <w:r>
        <w:t xml:space="preserve">上，SHAP 与 LASSO 更容易退化到</w:t>
      </w:r>
      <w:r>
        <w:t xml:space="preserve"> </w:t>
      </w:r>
      <w:r>
        <w:rPr>
          <w:rStyle w:val="VerbatimChar"/>
        </w:rPr>
        <w:t xml:space="preserve">cash-only</w:t>
      </w:r>
      <w:r>
        <w:t xml:space="preserve"> </w:t>
      </w:r>
      <w:r>
        <w:t xml:space="preserve">或其高度同源的简式近邻。它们在纯测试期上未必立刻出现灾难性负收益，但对应的 rank-IC 更低，说明这种简化会损失跨时间排序信息。</w:t>
      </w:r>
      <w:r>
        <w:rPr>
          <w:rStyle w:val="VerbatimChar"/>
        </w:rPr>
        <w:t xml:space="preserve">liquid1000</w:t>
      </w:r>
      <w:r>
        <w:t xml:space="preserve"> </w:t>
      </w:r>
      <w:r>
        <w:t xml:space="preserve">上，SHAP 同样退化到</w:t>
      </w:r>
      <w:r>
        <w:t xml:space="preserve"> </w:t>
      </w:r>
      <w:r>
        <w:rPr>
          <w:rStyle w:val="VerbatimChar"/>
        </w:rPr>
        <w:t xml:space="preserve">F_{cash}</w:t>
      </w:r>
      <w:r>
        <w:t xml:space="preserve">；PySR 则在默认均方误差目标下退化到</w:t>
      </w:r>
      <w:r>
        <w:t xml:space="preserve"> </w:t>
      </w:r>
      <w:r>
        <w:rPr>
          <w:rStyle w:val="VerbatimChar"/>
        </w:rPr>
        <w:t xml:space="preserve">VOLATILITY_20 RANK NEG</w:t>
      </w:r>
      <w:r>
        <w:t xml:space="preserve"> </w:t>
      </w:r>
      <w:r>
        <w:t xml:space="preserve">并给出负 Sharpe；而</w:t>
      </w:r>
      <w:r>
        <w:t xml:space="preserve"> </w:t>
      </w:r>
      <w:r>
        <w:rPr>
          <w:rStyle w:val="VerbatimChar"/>
        </w:rPr>
        <w:t xml:space="preserve">naive rank-IC</w:t>
      </w:r>
      <w:r>
        <w:t xml:space="preserve"> </w:t>
      </w:r>
      <w:r>
        <w:t xml:space="preserve">与验证均值规则更容易选出一个看似极端高分、实际上根本不满足可交易条件的稀疏异常解。</w:t>
      </w:r>
    </w:p>
    <w:p>
      <w:pPr>
        <w:pStyle w:val="BodyText"/>
      </w:pPr>
      <w:r>
        <w:t xml:space="preserve">这种差异恰好说明了本文所说的</w:t>
      </w:r>
      <w:r>
        <w:t xml:space="preserve">“</w:t>
      </w:r>
      <w:r>
        <w:t xml:space="preserve">伪赢家</w:t>
      </w:r>
      <w:r>
        <w:t xml:space="preserve">”</w:t>
      </w:r>
      <w:r>
        <w:t xml:space="preserve">并不是单一对象。一类伪赢家是覆盖率近乎为零、只能由极少数日期和极少数股票支撑的异常表达式；另一类伪赢家是近邻簇内部过度简化的单项结构，它们表面上保留了部分经济含义，却在跨时间与跨状态检验中损失了排序稳定性。就防过拟合而言，两类失败都重要，但前者更具有视觉冲击，因为它们最容易制造出不真实的高 Sharpe 幻觉。</w:t>
      </w:r>
    </w:p>
    <w:p>
      <w:pPr>
        <w:pStyle w:val="BodyText"/>
      </w:pPr>
      <w:r>
        <w:t xml:space="preserve">在统一熔断规则下，这种幻觉会被直接击穿。</w:t>
      </w:r>
      <w:r>
        <w:rPr>
          <w:rStyle w:val="VerbatimChar"/>
        </w:rPr>
        <w:t xml:space="preserve">liquid1000</w:t>
      </w:r>
      <w:r>
        <w:t xml:space="preserve"> </w:t>
      </w:r>
      <w:r>
        <w:t xml:space="preserve">上那个由</w:t>
      </w:r>
      <w:r>
        <w:t xml:space="preserve"> </w:t>
      </w:r>
      <w:r>
        <w:rPr>
          <w:rStyle w:val="VerbatimChar"/>
        </w:rPr>
        <w:t xml:space="preserve">naive rank-IC</w:t>
      </w:r>
      <w:r>
        <w:t xml:space="preserve"> </w:t>
      </w:r>
      <w:r>
        <w:t xml:space="preserve">与验证均值规则挑出的</w:t>
      </w:r>
      <w:r>
        <w:t xml:space="preserve"> </w:t>
      </w:r>
      <w:r>
        <w:rPr>
          <w:rStyle w:val="VerbatimChar"/>
        </w:rPr>
        <w:t xml:space="preserve">LEVERAGE_Q CASH_RATIO_Q ADD PROFITABILITY_A CORR_5</w:t>
      </w:r>
      <w:r>
        <w:t xml:space="preserve">，非空覆盖率只有</w:t>
      </w:r>
      <w:r>
        <w:t xml:space="preserve"> </w:t>
      </w:r>
      <w:r>
        <w:rPr>
          <w:rStyle w:val="VerbatimChar"/>
        </w:rPr>
        <w:t xml:space="preserve">0.000253</w:t>
      </w:r>
      <w:r>
        <w:t xml:space="preserve">，每日中位有效股票数仅</w:t>
      </w:r>
      <w:r>
        <w:t xml:space="preserve"> </w:t>
      </w:r>
      <w:r>
        <w:rPr>
          <w:rStyle w:val="VerbatimChar"/>
        </w:rPr>
        <w:t xml:space="preserve">1</w:t>
      </w:r>
      <w:r>
        <w:t xml:space="preserve">，可交易日占比在熔断后直接降为</w:t>
      </w:r>
      <w:r>
        <w:t xml:space="preserve"> </w:t>
      </w:r>
      <w:r>
        <w:rPr>
          <w:rStyle w:val="VerbatimChar"/>
        </w:rPr>
        <w:t xml:space="preserve">0</w:t>
      </w:r>
      <w:r>
        <w:t xml:space="preserve">。也就是说，它之所以曾经看起来</w:t>
      </w:r>
      <w:r>
        <w:t xml:space="preserve">“</w:t>
      </w:r>
      <w:r>
        <w:t xml:space="preserve">很强</w:t>
      </w:r>
      <w:r>
        <w:t xml:space="preserve">”</w:t>
      </w:r>
      <w:r>
        <w:t xml:space="preserve">，不是因为它真的构成了一条可执行的多空组合，而是因为旧口径允许异常低覆盖率样本在极少数日期上放大组合收益。将这一悖论显式暴露出来，正是本文主方法的核心价值之一。</w:t>
      </w:r>
    </w:p>
    <w:p>
      <w:pPr>
        <w:pStyle w:val="BodyText"/>
      </w:pPr>
      <w:r>
        <w:rPr>
          <w:bCs/>
          <w:b/>
        </w:rPr>
        <w:t xml:space="preserve">表3 纯测试期上的典型伪赢家与近邻退化结构</w:t>
      </w:r>
    </w:p>
    <w:tbl>
      <w:tblPr>
        <w:tblStyle w:val="Table"/>
        <w:tblW w:type="pct" w:w="5000.0"/>
        <w:tblLook w:firstRow="1" w:lastRow="0" w:firstColumn="0" w:lastColumn="0" w:noHBand="0" w:noVBand="0" w:val="0020"/>
      </w:tblPr>
      <w:tblGrid>
        <w:gridCol w:w="742"/>
        <w:gridCol w:w="742"/>
        <w:gridCol w:w="742"/>
        <w:gridCol w:w="990"/>
        <w:gridCol w:w="990"/>
        <w:gridCol w:w="990"/>
        <w:gridCol w:w="990"/>
        <w:gridCol w:w="990"/>
        <w:gridCol w:w="742"/>
      </w:tblGrid>
      <w:tr>
        <w:tc>
          <w:p>
            <w:pPr>
              <w:pStyle w:val="Compact"/>
              <w:jc w:val="left"/>
            </w:pPr>
            <w:r>
              <w:t xml:space="preserve">宇宙</w:t>
            </w:r>
          </w:p>
        </w:tc>
        <w:tc>
          <w:p>
            <w:pPr>
              <w:pStyle w:val="Compact"/>
              <w:jc w:val="left"/>
            </w:pPr>
            <w:r>
              <w:t xml:space="preserve">来源</w:t>
            </w:r>
          </w:p>
        </w:tc>
        <w:tc>
          <w:p>
            <w:pPr>
              <w:pStyle w:val="Compact"/>
              <w:jc w:val="left"/>
            </w:pPr>
            <w:r>
              <w:t xml:space="preserve">候选信号</w:t>
            </w:r>
          </w:p>
        </w:tc>
        <w:tc>
          <w:p>
            <w:pPr>
              <w:pStyle w:val="Compact"/>
              <w:jc w:val="right"/>
            </w:pPr>
            <w:r>
              <w:t xml:space="preserve">熔断后 Test Sharpe</w:t>
            </w:r>
          </w:p>
        </w:tc>
        <w:tc>
          <w:p>
            <w:pPr>
              <w:pStyle w:val="Compact"/>
              <w:jc w:val="right"/>
            </w:pPr>
            <w:r>
              <w:t xml:space="preserve">Test Rank-IC</w:t>
            </w:r>
          </w:p>
        </w:tc>
        <w:tc>
          <w:p>
            <w:pPr>
              <w:pStyle w:val="Compact"/>
              <w:jc w:val="right"/>
            </w:pPr>
            <w:r>
              <w:t xml:space="preserve">覆盖率</w:t>
            </w:r>
          </w:p>
        </w:tc>
        <w:tc>
          <w:p>
            <w:pPr>
              <w:pStyle w:val="Compact"/>
              <w:jc w:val="right"/>
            </w:pPr>
            <w:r>
              <w:t xml:space="preserve">可交易日占比</w:t>
            </w:r>
          </w:p>
        </w:tc>
        <w:tc>
          <w:p>
            <w:pPr>
              <w:pStyle w:val="Compact"/>
              <w:jc w:val="right"/>
            </w:pPr>
            <w:r>
              <w:t xml:space="preserve">中位有效股票数</w:t>
            </w:r>
          </w:p>
        </w:tc>
        <w:tc>
          <w:p>
            <w:pPr>
              <w:pStyle w:val="Compact"/>
              <w:jc w:val="left"/>
            </w:pPr>
            <w:r>
              <w:t xml:space="preserve">解释</w:t>
            </w:r>
          </w:p>
        </w:tc>
      </w:tr>
      <w:tr>
        <w:tc>
          <w:p>
            <w:pPr>
              <w:pStyle w:val="Compact"/>
              <w:jc w:val="left"/>
            </w:pPr>
            <w:r>
              <w:t xml:space="preserve">liquid500</w:t>
            </w:r>
          </w:p>
        </w:tc>
        <w:tc>
          <w:p>
            <w:pPr>
              <w:pStyle w:val="Compact"/>
              <w:jc w:val="left"/>
            </w:pPr>
            <w:r>
              <w:t xml:space="preserve">SHAP</w:t>
            </w:r>
          </w:p>
        </w:tc>
        <w:tc>
          <w:p>
            <w:pPr>
              <w:pStyle w:val="Compact"/>
              <w:jc w:val="left"/>
            </w:pPr>
            <w:r>
              <w:rPr>
                <w:rStyle w:val="VerbatimChar"/>
              </w:rPr>
              <w:t xml:space="preserve">F_cash</w:t>
            </w:r>
          </w:p>
        </w:tc>
        <w:tc>
          <w:p>
            <w:pPr>
              <w:pStyle w:val="Compact"/>
              <w:jc w:val="right"/>
            </w:pPr>
            <w:r>
              <w:t xml:space="preserve">0.4927</w:t>
            </w:r>
          </w:p>
        </w:tc>
        <w:tc>
          <w:p>
            <w:pPr>
              <w:pStyle w:val="Compact"/>
              <w:jc w:val="right"/>
            </w:pPr>
            <w:r>
              <w:t xml:space="preserve">0.0004</w:t>
            </w:r>
          </w:p>
        </w:tc>
        <w:tc>
          <w:p>
            <w:pPr>
              <w:pStyle w:val="Compact"/>
              <w:jc w:val="right"/>
            </w:pPr>
            <w:r>
              <w:t xml:space="preserve">1.0000</w:t>
            </w:r>
          </w:p>
        </w:tc>
        <w:tc>
          <w:p>
            <w:pPr>
              <w:pStyle w:val="Compact"/>
              <w:jc w:val="right"/>
            </w:pPr>
            <w:r>
              <w:t xml:space="preserve">1.0000</w:t>
            </w:r>
          </w:p>
        </w:tc>
        <w:tc>
          <w:p>
            <w:pPr>
              <w:pStyle w:val="Compact"/>
              <w:jc w:val="right"/>
            </w:pPr>
            <w:r>
              <w:t xml:space="preserve">277</w:t>
            </w:r>
          </w:p>
        </w:tc>
        <w:tc>
          <w:p>
            <w:pPr>
              <w:pStyle w:val="Compact"/>
              <w:jc w:val="left"/>
            </w:pPr>
            <w:r>
              <w:t xml:space="preserve">近邻简化</w:t>
            </w:r>
          </w:p>
        </w:tc>
      </w:tr>
      <w:tr>
        <w:tc>
          <w:p>
            <w:pPr>
              <w:pStyle w:val="Compact"/>
              <w:jc w:val="left"/>
            </w:pPr>
            <w:r>
              <w:t xml:space="preserve">liquid500</w:t>
            </w:r>
          </w:p>
        </w:tc>
        <w:tc>
          <w:p>
            <w:pPr>
              <w:pStyle w:val="Compact"/>
              <w:jc w:val="left"/>
            </w:pPr>
            <w:r>
              <w:t xml:space="preserve">LASSO</w:t>
            </w:r>
          </w:p>
        </w:tc>
        <w:tc>
          <w:p>
            <w:pPr>
              <w:pStyle w:val="Compact"/>
              <w:jc w:val="left"/>
            </w:pPr>
            <w:r>
              <w:rPr>
                <w:rStyle w:val="VerbatimChar"/>
              </w:rPr>
              <w:t xml:space="preserve">PROFITABILITY_Q CASH_RATIO_Q RANK ADD</w:t>
            </w:r>
          </w:p>
        </w:tc>
        <w:tc>
          <w:p>
            <w:pPr>
              <w:pStyle w:val="Compact"/>
              <w:jc w:val="right"/>
            </w:pPr>
            <w:r>
              <w:t xml:space="preserve">0.4582</w:t>
            </w:r>
          </w:p>
        </w:tc>
        <w:tc>
          <w:p>
            <w:pPr>
              <w:pStyle w:val="Compact"/>
              <w:jc w:val="right"/>
            </w:pPr>
            <w:r>
              <w:t xml:space="preserve">0.0002</w:t>
            </w:r>
          </w:p>
        </w:tc>
        <w:tc>
          <w:p>
            <w:pPr>
              <w:pStyle w:val="Compact"/>
              <w:jc w:val="right"/>
            </w:pPr>
            <w:r>
              <w:t xml:space="preserve">0.9932</w:t>
            </w:r>
          </w:p>
        </w:tc>
        <w:tc>
          <w:p>
            <w:pPr>
              <w:pStyle w:val="Compact"/>
              <w:jc w:val="right"/>
            </w:pPr>
            <w:r>
              <w:t xml:space="preserve">1.0000</w:t>
            </w:r>
          </w:p>
        </w:tc>
        <w:tc>
          <w:p>
            <w:pPr>
              <w:pStyle w:val="Compact"/>
              <w:jc w:val="right"/>
            </w:pPr>
            <w:r>
              <w:t xml:space="preserve">275</w:t>
            </w:r>
          </w:p>
        </w:tc>
        <w:tc>
          <w:p>
            <w:pPr>
              <w:pStyle w:val="Compact"/>
              <w:jc w:val="left"/>
            </w:pPr>
            <w:r>
              <w:t xml:space="preserve">近邻简化</w:t>
            </w:r>
          </w:p>
        </w:tc>
      </w:tr>
      <w:tr>
        <w:tc>
          <w:p>
            <w:pPr>
              <w:pStyle w:val="Compact"/>
              <w:jc w:val="left"/>
            </w:pPr>
            <w:r>
              <w:t xml:space="preserve">liquid500</w:t>
            </w:r>
          </w:p>
        </w:tc>
        <w:tc>
          <w:p>
            <w:pPr>
              <w:pStyle w:val="Compact"/>
              <w:jc w:val="left"/>
            </w:pPr>
            <w:r>
              <w:t xml:space="preserve">naive / 验证均值</w:t>
            </w:r>
          </w:p>
        </w:tc>
        <w:tc>
          <w:p>
            <w:pPr>
              <w:pStyle w:val="Compact"/>
              <w:jc w:val="left"/>
            </w:pPr>
            <w:r>
              <w:rPr>
                <w:rStyle w:val="VerbatimChar"/>
              </w:rPr>
              <w:t xml:space="preserve">PROFITABILITY_Q ... CORR_5 ADD</w:t>
            </w:r>
          </w:p>
        </w:tc>
        <w:tc>
          <w:p>
            <w:pPr>
              <w:pStyle w:val="Compact"/>
              <w:jc w:val="right"/>
            </w:pPr>
            <w:r>
              <w:t xml:space="preserve">0.2239</w:t>
            </w:r>
          </w:p>
        </w:tc>
        <w:tc>
          <w:p>
            <w:pPr>
              <w:pStyle w:val="Compact"/>
              <w:jc w:val="right"/>
            </w:pPr>
            <w:r>
              <w:t xml:space="preserve">-0.0180</w:t>
            </w:r>
          </w:p>
        </w:tc>
        <w:tc>
          <w:p>
            <w:pPr>
              <w:pStyle w:val="Compact"/>
              <w:jc w:val="right"/>
            </w:pPr>
            <w:r>
              <w:t xml:space="preserve">0.0633</w:t>
            </w:r>
          </w:p>
        </w:tc>
        <w:tc>
          <w:p>
            <w:pPr>
              <w:pStyle w:val="Compact"/>
              <w:jc w:val="right"/>
            </w:pPr>
            <w:r>
              <w:t xml:space="preserve">0.2604</w:t>
            </w:r>
          </w:p>
        </w:tc>
        <w:tc>
          <w:p>
            <w:pPr>
              <w:pStyle w:val="Compact"/>
              <w:jc w:val="right"/>
            </w:pPr>
            <w:r>
              <w:t xml:space="preserve">8</w:t>
            </w:r>
          </w:p>
        </w:tc>
        <w:tc>
          <w:p>
            <w:pPr>
              <w:pStyle w:val="Compact"/>
              <w:jc w:val="left"/>
            </w:pPr>
            <w:r>
              <w:t xml:space="preserve">稀疏退化</w:t>
            </w:r>
          </w:p>
        </w:tc>
      </w:tr>
      <w:tr>
        <w:tc>
          <w:p>
            <w:pPr>
              <w:pStyle w:val="Compact"/>
              <w:jc w:val="left"/>
            </w:pPr>
            <w:r>
              <w:t xml:space="preserve">liquid1000</w:t>
            </w:r>
          </w:p>
        </w:tc>
        <w:tc>
          <w:p>
            <w:pPr>
              <w:pStyle w:val="Compact"/>
              <w:jc w:val="left"/>
            </w:pPr>
            <w:r>
              <w:t xml:space="preserve">SHAP</w:t>
            </w:r>
          </w:p>
        </w:tc>
        <w:tc>
          <w:p>
            <w:pPr>
              <w:pStyle w:val="Compact"/>
              <w:jc w:val="left"/>
            </w:pPr>
            <w:r>
              <w:rPr>
                <w:rStyle w:val="VerbatimChar"/>
              </w:rPr>
              <w:t xml:space="preserve">F_cash</w:t>
            </w:r>
          </w:p>
        </w:tc>
        <w:tc>
          <w:p>
            <w:pPr>
              <w:pStyle w:val="Compact"/>
              <w:jc w:val="right"/>
            </w:pPr>
            <w:r>
              <w:t xml:space="preserve">0.5296</w:t>
            </w:r>
          </w:p>
        </w:tc>
        <w:tc>
          <w:p>
            <w:pPr>
              <w:pStyle w:val="Compact"/>
              <w:jc w:val="right"/>
            </w:pPr>
            <w:r>
              <w:t xml:space="preserve">0.0008</w:t>
            </w:r>
          </w:p>
        </w:tc>
        <w:tc>
          <w:p>
            <w:pPr>
              <w:pStyle w:val="Compact"/>
              <w:jc w:val="right"/>
            </w:pPr>
            <w:r>
              <w:t xml:space="preserve">1.0000</w:t>
            </w:r>
          </w:p>
        </w:tc>
        <w:tc>
          <w:p>
            <w:pPr>
              <w:pStyle w:val="Compact"/>
              <w:jc w:val="right"/>
            </w:pPr>
            <w:r>
              <w:t xml:space="preserve">1.0000</w:t>
            </w:r>
          </w:p>
        </w:tc>
        <w:tc>
          <w:p>
            <w:pPr>
              <w:pStyle w:val="Compact"/>
              <w:jc w:val="right"/>
            </w:pPr>
            <w:r>
              <w:t xml:space="preserve">484</w:t>
            </w:r>
          </w:p>
        </w:tc>
        <w:tc>
          <w:p>
            <w:pPr>
              <w:pStyle w:val="Compact"/>
              <w:jc w:val="left"/>
            </w:pPr>
            <w:r>
              <w:t xml:space="preserve">近邻简化</w:t>
            </w:r>
          </w:p>
        </w:tc>
      </w:tr>
      <w:tr>
        <w:tc>
          <w:p>
            <w:pPr>
              <w:pStyle w:val="Compact"/>
              <w:jc w:val="left"/>
            </w:pPr>
            <w:r>
              <w:t xml:space="preserve">liquid1000</w:t>
            </w:r>
          </w:p>
        </w:tc>
        <w:tc>
          <w:p>
            <w:pPr>
              <w:pStyle w:val="Compact"/>
              <w:jc w:val="left"/>
            </w:pPr>
            <w:r>
              <w:t xml:space="preserve">PySR</w:t>
            </w:r>
          </w:p>
        </w:tc>
        <w:tc>
          <w:p>
            <w:pPr>
              <w:pStyle w:val="Compact"/>
              <w:jc w:val="left"/>
            </w:pPr>
            <w:r>
              <w:rPr>
                <w:rStyle w:val="VerbatimChar"/>
              </w:rPr>
              <w:t xml:space="preserve">VOLATILITY_20 RANK NEG</w:t>
            </w:r>
          </w:p>
        </w:tc>
        <w:tc>
          <w:p>
            <w:pPr>
              <w:pStyle w:val="Compact"/>
              <w:jc w:val="right"/>
            </w:pPr>
            <w:r>
              <w:t xml:space="preserve">-0.4427</w:t>
            </w:r>
          </w:p>
        </w:tc>
        <w:tc>
          <w:p>
            <w:pPr>
              <w:pStyle w:val="Compact"/>
              <w:jc w:val="right"/>
            </w:pPr>
            <w:r>
              <w:t xml:space="preserve">0.0080</w:t>
            </w:r>
          </w:p>
        </w:tc>
        <w:tc>
          <w:p>
            <w:pPr>
              <w:pStyle w:val="Compact"/>
              <w:jc w:val="right"/>
            </w:pPr>
            <w:r>
              <w:t xml:space="preserve">1.0000</w:t>
            </w:r>
          </w:p>
        </w:tc>
        <w:tc>
          <w:p>
            <w:pPr>
              <w:pStyle w:val="Compact"/>
              <w:jc w:val="right"/>
            </w:pPr>
            <w:r>
              <w:t xml:space="preserve">1.0000</w:t>
            </w:r>
          </w:p>
        </w:tc>
        <w:tc>
          <w:p>
            <w:pPr>
              <w:pStyle w:val="Compact"/>
              <w:jc w:val="right"/>
            </w:pPr>
            <w:r>
              <w:t xml:space="preserve">484</w:t>
            </w:r>
          </w:p>
        </w:tc>
        <w:tc>
          <w:p>
            <w:pPr>
              <w:pStyle w:val="Compact"/>
              <w:jc w:val="left"/>
            </w:pPr>
            <w:r>
              <w:t xml:space="preserve">目标错位</w:t>
            </w:r>
          </w:p>
        </w:tc>
      </w:tr>
      <w:tr>
        <w:tc>
          <w:p>
            <w:pPr>
              <w:pStyle w:val="Compact"/>
              <w:jc w:val="left"/>
            </w:pPr>
            <w:r>
              <w:t xml:space="preserve">liquid1000</w:t>
            </w:r>
          </w:p>
        </w:tc>
        <w:tc>
          <w:p>
            <w:pPr>
              <w:pStyle w:val="Compact"/>
              <w:jc w:val="left"/>
            </w:pPr>
            <w:r>
              <w:t xml:space="preserve">naive / 验证均值</w:t>
            </w:r>
          </w:p>
        </w:tc>
        <w:tc>
          <w:p>
            <w:pPr>
              <w:pStyle w:val="Compact"/>
              <w:jc w:val="left"/>
            </w:pPr>
            <w:r>
              <w:rPr>
                <w:rStyle w:val="VerbatimChar"/>
              </w:rPr>
              <w:t xml:space="preserve">LEVERAGE_Q ... CORR_5</w:t>
            </w:r>
          </w:p>
        </w:tc>
        <w:tc>
          <w:p>
            <w:pPr>
              <w:pStyle w:val="Compact"/>
              <w:jc w:val="right"/>
            </w:pPr>
            <w:r>
              <w:t xml:space="preserve">—</w:t>
            </w:r>
          </w:p>
        </w:tc>
        <w:tc>
          <w:p>
            <w:pPr>
              <w:pStyle w:val="Compact"/>
              <w:jc w:val="right"/>
            </w:pPr>
            <w:r>
              <w:t xml:space="preserve">—</w:t>
            </w:r>
          </w:p>
        </w:tc>
        <w:tc>
          <w:p>
            <w:pPr>
              <w:pStyle w:val="Compact"/>
              <w:jc w:val="right"/>
            </w:pPr>
            <w:r>
              <w:t xml:space="preserve">0.000253</w:t>
            </w:r>
          </w:p>
        </w:tc>
        <w:tc>
          <w:p>
            <w:pPr>
              <w:pStyle w:val="Compact"/>
              <w:jc w:val="right"/>
            </w:pPr>
            <w:r>
              <w:t xml:space="preserve">0.0000</w:t>
            </w:r>
          </w:p>
        </w:tc>
        <w:tc>
          <w:p>
            <w:pPr>
              <w:pStyle w:val="Compact"/>
              <w:jc w:val="right"/>
            </w:pPr>
            <w:r>
              <w:t xml:space="preserve">1</w:t>
            </w:r>
          </w:p>
        </w:tc>
        <w:tc>
          <w:p>
            <w:pPr>
              <w:pStyle w:val="Compact"/>
              <w:jc w:val="left"/>
            </w:pPr>
            <w:r>
              <w:t xml:space="preserve">熔断后不可交易</w:t>
            </w:r>
          </w:p>
        </w:tc>
      </w:tr>
    </w:tbl>
    <w:bookmarkEnd w:id="30"/>
    <w:bookmarkStart w:id="31" w:name="近邻簇mcs-代理与参数盆地"/>
    <w:p>
      <w:pPr>
        <w:pStyle w:val="Heading3"/>
      </w:pPr>
      <w:r>
        <w:t xml:space="preserve">5.3 近邻簇、MCS 代理与参数盆地</w:t>
      </w:r>
    </w:p>
    <w:p>
      <w:pPr>
        <w:pStyle w:val="FirstParagraph"/>
      </w:pPr>
      <w:r>
        <w:t xml:space="preserve">近邻诊断解释了为什么简单筛选容易退化。</w:t>
      </w:r>
      <w:r>
        <w:rPr>
          <w:rStyle w:val="VerbatimChar"/>
        </w:rPr>
        <w:t xml:space="preserve">F*</w:t>
      </w:r>
      <w:r>
        <w:t xml:space="preserve"> </w:t>
      </w:r>
      <w:r>
        <w:t xml:space="preserve">与</w:t>
      </w:r>
      <w:r>
        <w:t xml:space="preserve"> </w:t>
      </w:r>
      <w:r>
        <w:rPr>
          <w:rStyle w:val="VerbatimChar"/>
        </w:rPr>
        <w:t xml:space="preserve">F_{cash}</w:t>
      </w:r>
      <w:r>
        <w:t xml:space="preserve"> </w:t>
      </w:r>
      <w:r>
        <w:t xml:space="preserve">的记号重叠度为</w:t>
      </w:r>
      <w:r>
        <w:t xml:space="preserve"> </w:t>
      </w:r>
      <w:r>
        <w:rPr>
          <w:rStyle w:val="VerbatimChar"/>
        </w:rPr>
        <w:t xml:space="preserve">0.4000</w:t>
      </w:r>
      <w:r>
        <w:t xml:space="preserve">，信号相关性为</w:t>
      </w:r>
      <w:r>
        <w:t xml:space="preserve"> </w:t>
      </w:r>
      <w:r>
        <w:rPr>
          <w:rStyle w:val="VerbatimChar"/>
        </w:rPr>
        <w:t xml:space="preserve">0.7785</w:t>
      </w:r>
      <w:r>
        <w:t xml:space="preserve">，说明它们并不是两个完全无关的对象，而是同一结构簇中的紧邻成员。对于这类近邻簇，若选择器只盯住单次验证得分，极易在结构上向更简单、但稳定性更差的单项表达式滑落。换言之，许多</w:t>
      </w:r>
      <w:r>
        <w:t xml:space="preserve">“</w:t>
      </w:r>
      <w:r>
        <w:t xml:space="preserve">新发现</w:t>
      </w:r>
      <w:r>
        <w:t xml:space="preserve">”</w:t>
      </w:r>
      <w:r>
        <w:t xml:space="preserve">并非真正的新经济结构，而只是已有结构簇中的局部偏移。</w:t>
      </w:r>
    </w:p>
    <w:p>
      <w:pPr>
        <w:pStyle w:val="BodyText"/>
      </w:pPr>
      <w:r>
        <w:t xml:space="preserve">MCS 代理与参数盆地则从另外两个角度约束这一问题。在 top-10 shortlist 上，</w:t>
      </w:r>
      <w:r>
        <w:rPr>
          <w:rStyle w:val="VerbatimChar"/>
        </w:rPr>
        <w:t xml:space="preserve">liquid500</w:t>
      </w:r>
      <w:r>
        <w:t xml:space="preserve"> </w:t>
      </w:r>
      <w:r>
        <w:t xml:space="preserve">的 MCS 集大小为</w:t>
      </w:r>
      <w:r>
        <w:t xml:space="preserve"> </w:t>
      </w:r>
      <w:r>
        <w:rPr>
          <w:rStyle w:val="VerbatimChar"/>
        </w:rPr>
        <w:t xml:space="preserve">5</w:t>
      </w:r>
      <w:r>
        <w:t xml:space="preserve">，</w:t>
      </w:r>
      <w:r>
        <w:rPr>
          <w:rStyle w:val="VerbatimChar"/>
        </w:rPr>
        <w:t xml:space="preserve">liquid1000</w:t>
      </w:r>
      <w:r>
        <w:t xml:space="preserve"> </w:t>
      </w:r>
      <w:r>
        <w:t xml:space="preserve">为</w:t>
      </w:r>
      <w:r>
        <w:t xml:space="preserve"> </w:t>
      </w:r>
      <w:r>
        <w:rPr>
          <w:rStyle w:val="VerbatimChar"/>
        </w:rPr>
        <w:t xml:space="preserve">3</w:t>
      </w:r>
      <w:r>
        <w:t xml:space="preserve">，</w:t>
      </w:r>
      <w:r>
        <w:rPr>
          <w:rStyle w:val="VerbatimChar"/>
        </w:rPr>
        <w:t xml:space="preserve">F*</w:t>
      </w:r>
      <w:r>
        <w:t xml:space="preserve"> </w:t>
      </w:r>
      <w:r>
        <w:t xml:space="preserve">在两个宇宙中都位于 MCS 集内。这意味着正文并未把它包装成唯一真赢家，而是承认它只是精英近邻簇中无法被剔除的一员。参数实验也支持同样的结论：滚动元验证在两个宇宙上都回到</w:t>
      </w:r>
      <w:r>
        <w:t xml:space="preserve"> </w:t>
      </w:r>
      <w:r>
        <w:rPr>
          <w:rStyle w:val="VerbatimChar"/>
        </w:rPr>
        <w:t xml:space="preserve">F*</w:t>
      </w:r>
      <w:r>
        <w:t xml:space="preserve">，</w:t>
      </w:r>
      <w:r>
        <w:rPr>
          <w:rStyle w:val="VerbatimChar"/>
        </w:rPr>
        <w:t xml:space="preserve">35/35</w:t>
      </w:r>
      <w:r>
        <w:t xml:space="preserve"> </w:t>
      </w:r>
      <w:r>
        <w:t xml:space="preserve">组阈值扰动没有推翻主信号。这些结果共同说明，本文的主张不是</w:t>
      </w:r>
      <w:r>
        <w:t xml:space="preserve">“</w:t>
      </w:r>
      <w:r>
        <w:t xml:space="preserve">找到了唯一最优点</w:t>
      </w:r>
      <w:r>
        <w:t xml:space="preserve">”</w:t>
      </w:r>
      <w:r>
        <w:t xml:space="preserve">，而是</w:t>
      </w:r>
      <w:r>
        <w:t xml:space="preserve">“</w:t>
      </w:r>
      <w:r>
        <w:t xml:space="preserve">存在一块较宽的稳定区域，其输出会一致地排除最危险的伪赢家</w:t>
      </w:r>
      <w:r>
        <w:t xml:space="preserve">”</w:t>
      </w:r>
      <w:r>
        <w:t xml:space="preserve">。</w:t>
      </w:r>
    </w:p>
    <w:bookmarkEnd w:id="31"/>
    <w:bookmarkStart w:id="34" w:name="公开-benchmark-与稳健性检验"/>
    <w:p>
      <w:pPr>
        <w:pStyle w:val="Heading3"/>
      </w:pPr>
      <w:r>
        <w:t xml:space="preserve">5.4 公开 benchmark 与稳健性检验</w:t>
      </w:r>
    </w:p>
    <w:p>
      <w:pPr>
        <w:pStyle w:val="FirstParagraph"/>
      </w:pPr>
      <w:r>
        <w:t xml:space="preserve">公开 benchmark 更适合被解释为</w:t>
      </w:r>
      <w:r>
        <w:t xml:space="preserve">“</w:t>
      </w:r>
      <w:r>
        <w:t xml:space="preserve">准确率—稳定性权衡</w:t>
      </w:r>
      <w:r>
        <w:t xml:space="preserve">”</w:t>
      </w:r>
      <w:r>
        <w:t xml:space="preserve">，而不是简单追求 headline accuracy 第一。正文主方法</w:t>
      </w:r>
      <w:r>
        <w:t xml:space="preserve"> </w:t>
      </w:r>
      <w:r>
        <w:rPr>
          <w:rStyle w:val="VerbatimChar"/>
        </w:rPr>
        <w:t xml:space="preserve">legacy_linear_selector</w:t>
      </w:r>
      <w:r>
        <w:t xml:space="preserve"> </w:t>
      </w:r>
      <w:r>
        <w:t xml:space="preserve">的平均准确率为</w:t>
      </w:r>
      <w:r>
        <w:t xml:space="preserve"> </w:t>
      </w:r>
      <w:r>
        <w:rPr>
          <w:rStyle w:val="VerbatimChar"/>
        </w:rPr>
        <w:t xml:space="preserve">0.9167</w:t>
      </w:r>
      <w:r>
        <w:t xml:space="preserve">、稳定性为</w:t>
      </w:r>
      <w:r>
        <w:t xml:space="preserve"> </w:t>
      </w:r>
      <w:r>
        <w:rPr>
          <w:rStyle w:val="VerbatimChar"/>
        </w:rPr>
        <w:t xml:space="preserve">1.0000</w:t>
      </w:r>
      <w:r>
        <w:t xml:space="preserve">；</w:t>
      </w:r>
      <w:r>
        <w:rPr>
          <w:rStyle w:val="VerbatimChar"/>
        </w:rPr>
        <w:t xml:space="preserve">naive rank-IC</w:t>
      </w:r>
      <w:r>
        <w:t xml:space="preserve"> </w:t>
      </w:r>
      <w:r>
        <w:t xml:space="preserve">的平均准确率更高，为</w:t>
      </w:r>
      <w:r>
        <w:t xml:space="preserve"> </w:t>
      </w:r>
      <w:r>
        <w:rPr>
          <w:rStyle w:val="VerbatimChar"/>
        </w:rPr>
        <w:t xml:space="preserve">0.9333</w:t>
      </w:r>
      <w:r>
        <w:t xml:space="preserve">，但稳定性下降到</w:t>
      </w:r>
      <w:r>
        <w:t xml:space="preserve"> </w:t>
      </w:r>
      <w:r>
        <w:rPr>
          <w:rStyle w:val="VerbatimChar"/>
        </w:rPr>
        <w:t xml:space="preserve">0.9500</w:t>
      </w:r>
      <w:r>
        <w:t xml:space="preserve">。从这个意义上说，benchmark 并没有给出一个单向度的胜负结论，而是提示研究者：若把稳定性与可复现性也视为目标，单纯的平均准确率并不足以决定方法优劣。</w:t>
      </w:r>
    </w:p>
    <w:p>
      <w:pPr>
        <w:pStyle w:val="BodyText"/>
      </w:pPr>
      <w:r>
        <w:t xml:space="preserve">作为额外稳健性检验，本文还测试了连续目标的多目标优化替代方案，但该版本在金融任务上出现前沿拥挤，在公开 benchmark 上平均准确率仅为</w:t>
      </w:r>
      <w:r>
        <w:t xml:space="preserve"> </w:t>
      </w:r>
      <w:r>
        <w:rPr>
          <w:rStyle w:val="VerbatimChar"/>
        </w:rPr>
        <w:t xml:space="preserve">0.8333</w:t>
      </w:r>
      <w:r>
        <w:t xml:space="preserve">，因此不纳入正文主方法定义。</w:t>
      </w:r>
      <w:r>
        <w:rPr>
          <w:rStyle w:val="VerbatimChar"/>
        </w:rPr>
        <w:t xml:space="preserve">adversarial_support_lockin</w:t>
      </w:r>
      <w:r>
        <w:t xml:space="preserve"> </w:t>
      </w:r>
      <w:r>
        <w:t xml:space="preserve">与</w:t>
      </w:r>
      <w:r>
        <w:t xml:space="preserve"> </w:t>
      </w:r>
      <w:r>
        <w:rPr>
          <w:rStyle w:val="VerbatimChar"/>
        </w:rPr>
        <w:t xml:space="preserve">support_lockin_recovery</w:t>
      </w:r>
      <w:r>
        <w:t xml:space="preserve"> </w:t>
      </w:r>
      <w:r>
        <w:t xml:space="preserve">两类任务共同界定了失效边界：即便在稳定性优先的协议下，若错误结构长期占据支持度，选择器仍可能被锁定。对这类边界保持诚实，是本文</w:t>
      </w:r>
      <w:r>
        <w:t xml:space="preserve">“</w:t>
      </w:r>
      <w:r>
        <w:t xml:space="preserve">防伪赢家</w:t>
      </w:r>
      <w:r>
        <w:t xml:space="preserve">”</w:t>
      </w:r>
      <w:r>
        <w:t xml:space="preserve">立场的一部分。</w:t>
      </w:r>
    </w:p>
    <w:p>
      <w:pPr>
        <w:pStyle w:val="BodyText"/>
      </w:pPr>
      <w:r>
        <w:drawing>
          <wp:inline>
            <wp:extent cx="5486400" cy="3282742"/>
            <wp:effectExtent b="0" l="0" r="0" t="0"/>
            <wp:docPr descr="图4 benchmark 的准确率—稳定性 Pareto 分布" title="" id="1" name="Picture"/>
            <a:graphic>
              <a:graphicData uri="http://schemas.openxmlformats.org/drawingml/2006/picture">
                <pic:pic>
                  <pic:nvPicPr>
                    <pic:cNvPr descr="figures/chinese_report_figure_4_benchmark_accuracy.png" id="0" name="Picture"/>
                    <pic:cNvPicPr>
                      <a:picLocks noChangeArrowheads="1" noChangeAspect="1"/>
                    </pic:cNvPicPr>
                  </pic:nvPicPr>
                  <pic:blipFill>
                    <a:blip r:embed="rId32"/>
                    <a:stretch>
                      <a:fillRect/>
                    </a:stretch>
                  </pic:blipFill>
                  <pic:spPr bwMode="auto">
                    <a:xfrm>
                      <a:off x="0" y="0"/>
                      <a:ext cx="5486400" cy="3282742"/>
                    </a:xfrm>
                    <a:prstGeom prst="rect">
                      <a:avLst/>
                    </a:prstGeom>
                    <a:noFill/>
                    <a:ln w="9525">
                      <a:noFill/>
                      <a:headEnd/>
                      <a:tailEnd/>
                    </a:ln>
                  </pic:spPr>
                </pic:pic>
              </a:graphicData>
            </a:graphic>
          </wp:inline>
        </w:drawing>
      </w:r>
      <w:r>
        <w:t xml:space="preserve"> </w:t>
      </w:r>
      <w:r>
        <w:drawing>
          <wp:inline>
            <wp:extent cx="5486400" cy="3435581"/>
            <wp:effectExtent b="0" l="0" r="0" t="0"/>
            <wp:docPr descr="图5 近邻信号案例" title="" id="1" name="Picture"/>
            <a:graphic>
              <a:graphicData uri="http://schemas.openxmlformats.org/drawingml/2006/picture">
                <pic:pic>
                  <pic:nvPicPr>
                    <pic:cNvPr descr="figures/chinese_report_figure_5_selector_case_study.png" id="0" name="Picture"/>
                    <pic:cNvPicPr>
                      <a:picLocks noChangeArrowheads="1" noChangeAspect="1"/>
                    </pic:cNvPicPr>
                  </pic:nvPicPr>
                  <pic:blipFill>
                    <a:blip r:embed="rId33"/>
                    <a:stretch>
                      <a:fillRect/>
                    </a:stretch>
                  </pic:blipFill>
                  <pic:spPr bwMode="auto">
                    <a:xfrm>
                      <a:off x="0" y="0"/>
                      <a:ext cx="5486400" cy="3435581"/>
                    </a:xfrm>
                    <a:prstGeom prst="rect">
                      <a:avLst/>
                    </a:prstGeom>
                    <a:noFill/>
                    <a:ln w="9525">
                      <a:noFill/>
                      <a:headEnd/>
                      <a:tailEnd/>
                    </a:ln>
                  </pic:spPr>
                </pic:pic>
              </a:graphicData>
            </a:graphic>
          </wp:inline>
        </w:drawing>
      </w:r>
    </w:p>
    <w:bookmarkEnd w:id="34"/>
    <w:bookmarkEnd w:id="35"/>
    <w:bookmarkStart w:id="36" w:name="结论"/>
    <w:p>
      <w:pPr>
        <w:pStyle w:val="Heading2"/>
      </w:pPr>
      <w:r>
        <w:t xml:space="preserve">6. 结论</w:t>
      </w:r>
    </w:p>
    <w:p>
      <w:pPr>
        <w:pStyle w:val="FirstParagraph"/>
      </w:pPr>
      <w:r>
        <w:t xml:space="preserve">本文的核心发现是：在低信噪比、近邻公式高度同源且搜索对随机种子敏感的符号空间中，选择阶段本身就是主要误差来源。与继续扩大表达式空间相比，构造一套能抑制伪赢家、显式暴露稀疏异常解并在跨时间和跨种子上保持基本一致的选择协议，更能决定最终研究结论是否可信。本文提出的两阶段稳定性协议，正是沿着这一思路构建的工程化但可审查的方法框架。</w:t>
      </w:r>
    </w:p>
    <w:p>
      <w:pPr>
        <w:pStyle w:val="BodyText"/>
      </w:pPr>
      <w:r>
        <w:t xml:space="preserve">从真实金融结果看，</w:t>
      </w:r>
      <w:r>
        <w:rPr>
          <w:rStyle w:val="VerbatimChar"/>
        </w:rPr>
        <w:t xml:space="preserve">F*</w:t>
      </w:r>
      <w:r>
        <w:t xml:space="preserve"> </w:t>
      </w:r>
      <w:r>
        <w:t xml:space="preserve">的意义在于稳健，而不在于显著。无论是无条件 alpha，还是基于 VIX 的条件 alpha，本文都没有得到足以支持</w:t>
      </w:r>
      <w:r>
        <w:t xml:space="preserve">“</w:t>
      </w:r>
      <w:r>
        <w:t xml:space="preserve">新定价结构</w:t>
      </w:r>
      <w:r>
        <w:t xml:space="preserve">”</w:t>
      </w:r>
      <w:r>
        <w:t xml:space="preserve">的强统计结论。相反，真正有说服力的证据来自三个方面：第一，主信号在纯测试期、统一熔断、退市收益并入和市值加权口径下依然保留正向表现；第二，双重排序说明其经济内容主要由中大盘防御型质量结构承载，而不是微盘尾部噪声；第三，多个表面上更高分的候选在统一口径下要么退化成近邻简化，要么直接失去可交易性。本文两阶段协议的价值，不在于无中生有地萃取显著盈利因子，而在于提供一套减方差与安全切断机制：当横截面中只剩微弱信号和大量噪声时，系统能够拒绝追逐最危险的伪赢家，并保守地收敛到具有基本经济学合理性和交易可行性的结构。</w:t>
      </w:r>
    </w:p>
    <w:p>
      <w:pPr>
        <w:pStyle w:val="BodyText"/>
      </w:pPr>
      <w:r>
        <w:t xml:space="preserve">从更广的研究含义看，这一结果也提示后续工作应把重心放在更严格的数据约束、更透明的样本外协议以及更审慎的经济机制识别上，而不是继续依赖更大的搜索空间去追逐脆弱且不可复现的局部最优。</w:t>
      </w:r>
    </w:p>
    <w:bookmarkEnd w:id="36"/>
    <w:bookmarkStart w:id="37" w:name="参考文献"/>
    <w:p>
      <w:pPr>
        <w:pStyle w:val="Heading2"/>
      </w:pPr>
      <w:r>
        <w:t xml:space="preserve">参考文献</w:t>
      </w:r>
    </w:p>
    <w:p>
      <w:pPr>
        <w:numPr>
          <w:ilvl w:val="0"/>
          <w:numId w:val="1001"/>
        </w:numPr>
        <w:pStyle w:val="Compact"/>
      </w:pPr>
      <w:r>
        <w:t xml:space="preserve">Zhu, Z., &amp; Zhu, K.</w:t>
      </w:r>
      <w:r>
        <w:t xml:space="preserve"> </w:t>
      </w:r>
      <w:r>
        <w:rPr>
          <w:iCs/>
          <w:i/>
        </w:rPr>
        <w:t xml:space="preserve">AlphaQCM: Alpha Discovery in Finance with Distributional Reinforcement Learning</w:t>
      </w:r>
      <w:r>
        <w:t xml:space="preserve">.</w:t>
      </w:r>
    </w:p>
    <w:p>
      <w:pPr>
        <w:numPr>
          <w:ilvl w:val="0"/>
          <w:numId w:val="1001"/>
        </w:numPr>
        <w:pStyle w:val="Compact"/>
      </w:pPr>
      <w:r>
        <w:t xml:space="preserve">Yang, H., Hao, D., Wang, Z., Shi, Q., &amp; Li, X.</w:t>
      </w:r>
      <w:r>
        <w:t xml:space="preserve"> </w:t>
      </w:r>
      <w:r>
        <w:rPr>
          <w:iCs/>
          <w:i/>
        </w:rPr>
        <w:t xml:space="preserve">Alpha Discovery via Grammar-Guided Learning and Search</w:t>
      </w:r>
      <w:r>
        <w:t xml:space="preserve">.</w:t>
      </w:r>
    </w:p>
    <w:p>
      <w:pPr>
        <w:numPr>
          <w:ilvl w:val="0"/>
          <w:numId w:val="1001"/>
        </w:numPr>
        <w:pStyle w:val="Compact"/>
      </w:pPr>
      <w:r>
        <w:t xml:space="preserve">Wang, Y., Xu, J., Zhang, H., Huang, S.-L., Sun, D. D., &amp; Zhang, X.-P.</w:t>
      </w:r>
      <w:r>
        <w:t xml:space="preserve"> </w:t>
      </w:r>
      <w:r>
        <w:rPr>
          <w:iCs/>
          <w:i/>
        </w:rPr>
        <w:t xml:space="preserve">FactorMiner: A Self-Evolving Agent with Skills and Experience Memory for Financial Alpha Discovery</w:t>
      </w:r>
      <w:r>
        <w:t xml:space="preserve">.</w:t>
      </w:r>
    </w:p>
    <w:p>
      <w:pPr>
        <w:numPr>
          <w:ilvl w:val="0"/>
          <w:numId w:val="1001"/>
        </w:numPr>
        <w:pStyle w:val="Compact"/>
      </w:pPr>
      <w:r>
        <w:rPr>
          <w:iCs/>
          <w:i/>
        </w:rPr>
        <w:t xml:space="preserve">AlphaFormer: End-to-End Symbolic Regression of Alpha Signals with Transformers</w:t>
      </w:r>
      <w:r>
        <w:t xml:space="preserve">.</w:t>
      </w:r>
    </w:p>
    <w:p>
      <w:pPr>
        <w:numPr>
          <w:ilvl w:val="0"/>
          <w:numId w:val="1001"/>
        </w:numPr>
        <w:pStyle w:val="Compact"/>
      </w:pPr>
      <w:r>
        <w:rPr>
          <w:iCs/>
          <w:i/>
        </w:rPr>
        <w:t xml:space="preserve">Generating Synergistic Formulaic Alpha Collections via Reinforcement Learning</w:t>
      </w:r>
      <w:r>
        <w:t xml:space="preserve">.</w:t>
      </w:r>
    </w:p>
    <w:p>
      <w:pPr>
        <w:numPr>
          <w:ilvl w:val="0"/>
          <w:numId w:val="1001"/>
        </w:numPr>
        <w:pStyle w:val="Compact"/>
      </w:pPr>
      <w:r>
        <w:t xml:space="preserve">Gu, S., Kelly, B., &amp; Xiu, D. (2020).</w:t>
      </w:r>
      <w:r>
        <w:t xml:space="preserve"> </w:t>
      </w:r>
      <w:r>
        <w:rPr>
          <w:iCs/>
          <w:i/>
        </w:rPr>
        <w:t xml:space="preserve">Empirical Asset Pricing via Machine Learning</w:t>
      </w:r>
      <w:r>
        <w:t xml:space="preserve">. Review of Financial Studies.</w:t>
      </w:r>
    </w:p>
    <w:p>
      <w:pPr>
        <w:numPr>
          <w:ilvl w:val="0"/>
          <w:numId w:val="1001"/>
        </w:numPr>
        <w:pStyle w:val="Compact"/>
      </w:pPr>
      <w:r>
        <w:t xml:space="preserve">Giglio, S., Kelly, B., &amp; Xiu, D. (2022).</w:t>
      </w:r>
      <w:r>
        <w:t xml:space="preserve"> </w:t>
      </w:r>
      <w:r>
        <w:rPr>
          <w:iCs/>
          <w:i/>
        </w:rPr>
        <w:t xml:space="preserve">Factor Models, Machine Learning, and Asset Pricing</w:t>
      </w:r>
      <w:r>
        <w:t xml:space="preserve">. Annual Review of Financial Economics.</w:t>
      </w:r>
    </w:p>
    <w:p>
      <w:pPr>
        <w:numPr>
          <w:ilvl w:val="0"/>
          <w:numId w:val="1001"/>
        </w:numPr>
        <w:pStyle w:val="Compact"/>
      </w:pPr>
      <w:r>
        <w:t xml:space="preserve">Giglio, S., Liao, Y., &amp; Xiu, D. (2021).</w:t>
      </w:r>
      <w:r>
        <w:t xml:space="preserve"> </w:t>
      </w:r>
      <w:r>
        <w:rPr>
          <w:iCs/>
          <w:i/>
        </w:rPr>
        <w:t xml:space="preserve">Thousands of Alpha Tests</w:t>
      </w:r>
      <w:r>
        <w:t xml:space="preserve">. Review of Financial Studies.</w:t>
      </w:r>
    </w:p>
    <w:p>
      <w:pPr>
        <w:numPr>
          <w:ilvl w:val="0"/>
          <w:numId w:val="1001"/>
        </w:numPr>
        <w:pStyle w:val="Compact"/>
      </w:pPr>
      <w:r>
        <w:t xml:space="preserve">Harvey, C. R., Liu, Y., &amp; Zhu, H. (2016).</w:t>
      </w:r>
      <w:r>
        <w:t xml:space="preserve"> </w:t>
      </w:r>
      <w:r>
        <w:rPr>
          <w:iCs/>
          <w:i/>
        </w:rPr>
        <w:t xml:space="preserve">… and the Cross-Section of Expected Returns</w:t>
      </w:r>
      <w:r>
        <w:t xml:space="preserve">. Review of Financial Studies.</w:t>
      </w:r>
    </w:p>
    <w:p>
      <w:pPr>
        <w:numPr>
          <w:ilvl w:val="0"/>
          <w:numId w:val="1001"/>
        </w:numPr>
        <w:pStyle w:val="Compact"/>
      </w:pPr>
      <w:r>
        <w:t xml:space="preserve">White, H. (2000).</w:t>
      </w:r>
      <w:r>
        <w:t xml:space="preserve"> </w:t>
      </w:r>
      <w:r>
        <w:rPr>
          <w:iCs/>
          <w:i/>
        </w:rPr>
        <w:t xml:space="preserve">A Reality Check for Data Snooping</w:t>
      </w:r>
      <w:r>
        <w:t xml:space="preserve">. Econometrica.</w:t>
      </w:r>
    </w:p>
    <w:p>
      <w:pPr>
        <w:numPr>
          <w:ilvl w:val="0"/>
          <w:numId w:val="1001"/>
        </w:numPr>
        <w:pStyle w:val="Compact"/>
      </w:pPr>
      <w:r>
        <w:t xml:space="preserve">Meinshausen, N., &amp; Bühlmann, P. (2010).</w:t>
      </w:r>
      <w:r>
        <w:t xml:space="preserve"> </w:t>
      </w:r>
      <w:r>
        <w:rPr>
          <w:iCs/>
          <w:i/>
        </w:rPr>
        <w:t xml:space="preserve">Stability Selection</w:t>
      </w:r>
      <w:r>
        <w:t xml:space="preserve">. Journal of the Royal Statistical Society: Series B.</w:t>
      </w:r>
    </w:p>
    <w:p>
      <w:pPr>
        <w:numPr>
          <w:ilvl w:val="0"/>
          <w:numId w:val="1001"/>
        </w:numPr>
        <w:pStyle w:val="Compact"/>
      </w:pPr>
      <w:r>
        <w:t xml:space="preserve">Hansen, P. R., Lunde, A., &amp; Nason, J. M. (2011).</w:t>
      </w:r>
      <w:r>
        <w:t xml:space="preserve"> </w:t>
      </w:r>
      <w:r>
        <w:rPr>
          <w:iCs/>
          <w:i/>
        </w:rPr>
        <w:t xml:space="preserve">The Model Confidence Set</w:t>
      </w:r>
      <w:r>
        <w:t xml:space="preserve">. Econometrica.</w:t>
      </w:r>
    </w:p>
    <w:p>
      <w:pPr>
        <w:numPr>
          <w:ilvl w:val="0"/>
          <w:numId w:val="1001"/>
        </w:numPr>
        <w:pStyle w:val="Compact"/>
      </w:pPr>
      <w:r>
        <w:t xml:space="preserve">Romano, J. P., &amp; Wolf, M. (2005).</w:t>
      </w:r>
      <w:r>
        <w:t xml:space="preserve"> </w:t>
      </w:r>
      <w:r>
        <w:rPr>
          <w:iCs/>
          <w:i/>
        </w:rPr>
        <w:t xml:space="preserve">Exact and Approximate Stepdown Methods for Multiple Hypothesis Testing</w:t>
      </w:r>
      <w:r>
        <w:t xml:space="preserve">. Journal of the American Statistical Association.</w:t>
      </w:r>
    </w:p>
    <w:p>
      <w:pPr>
        <w:numPr>
          <w:ilvl w:val="0"/>
          <w:numId w:val="1001"/>
        </w:numPr>
        <w:pStyle w:val="Compact"/>
      </w:pPr>
      <w:r>
        <w:t xml:space="preserve">Benjamini, Y., &amp; Hochberg, Y. (1995).</w:t>
      </w:r>
      <w:r>
        <w:t xml:space="preserve"> </w:t>
      </w:r>
      <w:r>
        <w:rPr>
          <w:iCs/>
          <w:i/>
        </w:rPr>
        <w:t xml:space="preserve">Controlling the False Discovery Rate: A Practical and Powerful Approach to Multiple Testing</w:t>
      </w:r>
      <w:r>
        <w:t xml:space="preserve">. Journal of the Royal Statistical Society: Series B.</w:t>
      </w:r>
    </w:p>
    <w:p>
      <w:pPr>
        <w:numPr>
          <w:ilvl w:val="0"/>
          <w:numId w:val="1001"/>
        </w:numPr>
        <w:pStyle w:val="Compact"/>
      </w:pPr>
      <w:r>
        <w:t xml:space="preserve">Benjamini, Y., &amp; Yekutieli, D. (2001).</w:t>
      </w:r>
      <w:r>
        <w:t xml:space="preserve"> </w:t>
      </w:r>
      <w:r>
        <w:rPr>
          <w:iCs/>
          <w:i/>
        </w:rPr>
        <w:t xml:space="preserve">The Control of the False Discovery Rate in Multiple Testing under Dependency</w:t>
      </w:r>
      <w:r>
        <w:t xml:space="preserve">. Annals of Statistics.</w:t>
      </w:r>
    </w:p>
    <w:p>
      <w:pPr>
        <w:numPr>
          <w:ilvl w:val="0"/>
          <w:numId w:val="1001"/>
        </w:numPr>
        <w:pStyle w:val="Compact"/>
      </w:pPr>
      <w:r>
        <w:t xml:space="preserve">Breiman, L. (1996).</w:t>
      </w:r>
      <w:r>
        <w:t xml:space="preserve"> </w:t>
      </w:r>
      <w:r>
        <w:rPr>
          <w:iCs/>
          <w:i/>
        </w:rPr>
        <w:t xml:space="preserve">Bagging Predictors</w:t>
      </w:r>
      <w:r>
        <w:t xml:space="preserve">. Machine Learning.</w:t>
      </w:r>
    </w:p>
    <w:p>
      <w:pPr>
        <w:numPr>
          <w:ilvl w:val="0"/>
          <w:numId w:val="1001"/>
        </w:numPr>
        <w:pStyle w:val="Compact"/>
      </w:pPr>
      <w:r>
        <w:t xml:space="preserve">Lundberg, S. M., &amp; Lee, S.-I. (2017).</w:t>
      </w:r>
      <w:r>
        <w:t xml:space="preserve"> </w:t>
      </w:r>
      <w:r>
        <w:rPr>
          <w:iCs/>
          <w:i/>
        </w:rPr>
        <w:t xml:space="preserve">A Unified Approach to Interpreting Model Predictions</w:t>
      </w:r>
      <w:r>
        <w:t xml:space="preserve">. Advances in Neural Information Processing Systems.</w:t>
      </w:r>
    </w:p>
    <w:p>
      <w:pPr>
        <w:numPr>
          <w:ilvl w:val="0"/>
          <w:numId w:val="1001"/>
        </w:numPr>
        <w:pStyle w:val="Compact"/>
      </w:pPr>
      <w:r>
        <w:t xml:space="preserve">Cranmer, M. (2023).</w:t>
      </w:r>
      <w:r>
        <w:t xml:space="preserve"> </w:t>
      </w:r>
      <w:r>
        <w:rPr>
          <w:iCs/>
          <w:i/>
        </w:rPr>
        <w:t xml:space="preserve">Interpretable Machine Learning for Science with PySR and SymbolicRegression.jl</w:t>
      </w:r>
      <w:r>
        <w:t xml:space="preserve">. Journal of Open Source Software.</w:t>
      </w:r>
    </w:p>
    <w:p>
      <w:pPr>
        <w:numPr>
          <w:ilvl w:val="0"/>
          <w:numId w:val="1001"/>
        </w:numPr>
        <w:pStyle w:val="Compact"/>
      </w:pPr>
      <w:r>
        <w:t xml:space="preserve">Belloni, A., Chernozhukov, V., &amp; Hansen, C. (2014).</w:t>
      </w:r>
      <w:r>
        <w:t xml:space="preserve"> </w:t>
      </w:r>
      <w:r>
        <w:rPr>
          <w:iCs/>
          <w:i/>
        </w:rPr>
        <w:t xml:space="preserve">Inference on Treatment Effects after Selection among High-Dimensional Controls</w:t>
      </w:r>
      <w:r>
        <w:t xml:space="preserve">. Review of Economic Studies.</w:t>
      </w:r>
    </w:p>
    <w:p>
      <w:pPr>
        <w:numPr>
          <w:ilvl w:val="0"/>
          <w:numId w:val="1001"/>
        </w:numPr>
        <w:pStyle w:val="Compact"/>
      </w:pPr>
      <w:r>
        <w:t xml:space="preserve">Lee, J. D., Sun, D. L., Sun, Y., &amp; Taylor, J. E. (2016).</w:t>
      </w:r>
      <w:r>
        <w:t xml:space="preserve"> </w:t>
      </w:r>
      <w:r>
        <w:rPr>
          <w:iCs/>
          <w:i/>
        </w:rPr>
        <w:t xml:space="preserve">Exact Post-Selection Inference, with Application to the Lasso</w:t>
      </w:r>
      <w:r>
        <w:t xml:space="preserve">. Annals of Statistics.</w:t>
      </w:r>
    </w:p>
    <w:p>
      <w:pPr>
        <w:numPr>
          <w:ilvl w:val="0"/>
          <w:numId w:val="1001"/>
        </w:numPr>
        <w:pStyle w:val="Compact"/>
      </w:pPr>
      <w:r>
        <w:t xml:space="preserve">Udrescu, S.-M., &amp; Tegmark, M. (2020).</w:t>
      </w:r>
      <w:r>
        <w:t xml:space="preserve"> </w:t>
      </w:r>
      <w:r>
        <w:rPr>
          <w:iCs/>
          <w:i/>
        </w:rPr>
        <w:t xml:space="preserve">AI Feynman: A Physics-Inspired Method for Symbolic Regression</w:t>
      </w:r>
      <w:r>
        <w:t xml:space="preserve">. Science Advances.</w:t>
      </w:r>
    </w:p>
    <w:p>
      <w:pPr>
        <w:numPr>
          <w:ilvl w:val="0"/>
          <w:numId w:val="1001"/>
        </w:numPr>
        <w:pStyle w:val="Compact"/>
      </w:pPr>
      <w:r>
        <w:t xml:space="preserve">La Cava, W., Singh, T. R., Taggart, J., Suri, H., et al. (2021).</w:t>
      </w:r>
      <w:r>
        <w:t xml:space="preserve"> </w:t>
      </w:r>
      <w:r>
        <w:rPr>
          <w:iCs/>
          <w:i/>
        </w:rPr>
        <w:t xml:space="preserve">Contemporary Symbolic Regression Methods and Their Relative Performance</w:t>
      </w:r>
      <w:r>
        <w:t xml:space="preserve">. NeurIPS Datasets and Benchmarks.</w:t>
      </w:r>
    </w:p>
    <w:bookmarkEnd w:id="37"/>
    <w:bookmarkEnd w:id="38"/>
    <w:sectPr>
      <w:pgSz w:h="15840" w:w="12240"/>
      <w:pgMar w:bottom="144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2026-04-07T08:46:08Z</dcterms:created>
  <dcterms:modified xsi:type="dcterms:W3CDTF">2026-04-07T08:46:08Z</dcterms:modified>
</cp:coreProperties>
</file>

<file path=docProps/custom.xml><?xml version="1.0" encoding="utf-8"?>
<Properties xmlns="http://schemas.openxmlformats.org/officeDocument/2006/custom-properties" xmlns:vt="http://schemas.openxmlformats.org/officeDocument/2006/docPropsVTypes"/>
</file>