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62FBA" w14:textId="1F5033BA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Arial" w:eastAsia="Times New Roman" w:hAnsi="Arial" w:cs="Arial"/>
          <w:b/>
          <w:bCs/>
          <w:color w:val="4472C4" w:themeColor="accent1"/>
          <w:kern w:val="36"/>
          <w:sz w:val="77"/>
          <w:szCs w:val="77"/>
          <w:lang w:eastAsia="es-419"/>
        </w:rPr>
      </w:pPr>
      <w:r>
        <w:rPr>
          <w:rFonts w:ascii="Arial" w:eastAsia="Times New Roman" w:hAnsi="Arial" w:cs="Arial"/>
          <w:b/>
          <w:bCs/>
          <w:color w:val="4472C4" w:themeColor="accent1"/>
          <w:kern w:val="36"/>
          <w:sz w:val="77"/>
          <w:szCs w:val="77"/>
          <w:lang w:eastAsia="es-419"/>
        </w:rPr>
        <w:t>L</w:t>
      </w:r>
      <w:r w:rsidRPr="000540FD">
        <w:rPr>
          <w:rFonts w:ascii="Arial" w:eastAsia="Times New Roman" w:hAnsi="Arial" w:cs="Arial"/>
          <w:b/>
          <w:bCs/>
          <w:color w:val="4472C4" w:themeColor="accent1"/>
          <w:kern w:val="36"/>
          <w:sz w:val="77"/>
          <w:szCs w:val="77"/>
          <w:lang w:eastAsia="es-419"/>
        </w:rPr>
        <w:t xml:space="preserve">a propuesta de </w:t>
      </w:r>
      <w:proofErr w:type="spellStart"/>
      <w:r w:rsidRPr="000540FD">
        <w:rPr>
          <w:rFonts w:ascii="Arial" w:eastAsia="Times New Roman" w:hAnsi="Arial" w:cs="Arial"/>
          <w:b/>
          <w:bCs/>
          <w:color w:val="4472C4" w:themeColor="accent1"/>
          <w:kern w:val="36"/>
          <w:sz w:val="77"/>
          <w:szCs w:val="77"/>
          <w:lang w:eastAsia="es-419"/>
        </w:rPr>
        <w:t>Sisalril</w:t>
      </w:r>
      <w:proofErr w:type="spellEnd"/>
      <w:r w:rsidRPr="000540FD">
        <w:rPr>
          <w:rFonts w:ascii="Arial" w:eastAsia="Times New Roman" w:hAnsi="Arial" w:cs="Arial"/>
          <w:b/>
          <w:bCs/>
          <w:color w:val="4472C4" w:themeColor="accent1"/>
          <w:kern w:val="36"/>
          <w:sz w:val="77"/>
          <w:szCs w:val="77"/>
          <w:lang w:eastAsia="es-419"/>
        </w:rPr>
        <w:t xml:space="preserve"> que cambiaría la forma de repartir los fondos a las ARS</w:t>
      </w:r>
      <w:r w:rsidRPr="000540FD">
        <w:rPr>
          <w:rFonts w:ascii="Arial" w:eastAsia="Times New Roman" w:hAnsi="Arial" w:cs="Arial"/>
          <w:b/>
          <w:bCs/>
          <w:color w:val="4472C4" w:themeColor="accent1"/>
          <w:kern w:val="36"/>
          <w:sz w:val="77"/>
          <w:szCs w:val="77"/>
          <w:lang w:eastAsia="es-419"/>
        </w:rPr>
        <w:t>.</w:t>
      </w:r>
    </w:p>
    <w:p w14:paraId="5709E0B2" w14:textId="77777777" w:rsidR="000540FD" w:rsidRDefault="000540FD" w:rsidP="000540F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312" w:lineRule="atLeast"/>
        <w:rPr>
          <w:rFonts w:ascii="Roboto" w:hAnsi="Roboto"/>
          <w:color w:val="000000"/>
          <w:sz w:val="26"/>
          <w:szCs w:val="26"/>
        </w:rPr>
      </w:pPr>
      <w:r>
        <w:rPr>
          <w:rFonts w:ascii="Roboto" w:hAnsi="Roboto"/>
          <w:color w:val="000000"/>
          <w:sz w:val="26"/>
          <w:szCs w:val="26"/>
        </w:rPr>
        <w:t>La Administradora de Riesgos de Salud (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ARS</w:t>
      </w:r>
      <w:r>
        <w:rPr>
          <w:rFonts w:ascii="Roboto" w:hAnsi="Roboto"/>
          <w:color w:val="000000"/>
          <w:sz w:val="26"/>
          <w:szCs w:val="26"/>
        </w:rPr>
        <w:t>) Yunen rechazó este domingo una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propuesta</w:t>
      </w:r>
      <w:r>
        <w:rPr>
          <w:rFonts w:ascii="Roboto" w:hAnsi="Roboto"/>
          <w:color w:val="000000"/>
          <w:sz w:val="26"/>
          <w:szCs w:val="26"/>
        </w:rPr>
        <w:t> que está elaborando la Superintendencia de Salud y Riesgos Laborales (</w:t>
      </w:r>
      <w:proofErr w:type="spellStart"/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Sisalril</w:t>
      </w:r>
      <w:proofErr w:type="spellEnd"/>
      <w:r>
        <w:rPr>
          <w:rFonts w:ascii="Roboto" w:hAnsi="Roboto"/>
          <w:color w:val="000000"/>
          <w:sz w:val="26"/>
          <w:szCs w:val="26"/>
        </w:rPr>
        <w:t>) porque asegura que provocaría la quiebra de varias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ARS pequeñas</w:t>
      </w:r>
      <w:r>
        <w:rPr>
          <w:rFonts w:ascii="Roboto" w:hAnsi="Roboto"/>
          <w:color w:val="000000"/>
          <w:sz w:val="26"/>
          <w:szCs w:val="26"/>
        </w:rPr>
        <w:t> y favorecería únicamente a las tres más grandes del sistema.</w:t>
      </w:r>
    </w:p>
    <w:p w14:paraId="30FDFB2F" w14:textId="77777777" w:rsidR="000540FD" w:rsidRDefault="000540FD" w:rsidP="000540F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312" w:lineRule="atLeast"/>
        <w:rPr>
          <w:rFonts w:ascii="Roboto" w:hAnsi="Roboto"/>
          <w:color w:val="000000"/>
          <w:sz w:val="26"/>
          <w:szCs w:val="26"/>
        </w:rPr>
      </w:pPr>
      <w:r>
        <w:rPr>
          <w:rFonts w:ascii="Roboto" w:hAnsi="Roboto"/>
          <w:color w:val="000000"/>
          <w:sz w:val="26"/>
          <w:szCs w:val="26"/>
        </w:rPr>
        <w:t>Según un informe publicado a mediados de abril, la </w:t>
      </w:r>
      <w:proofErr w:type="spellStart"/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Sisalril</w:t>
      </w:r>
      <w:proofErr w:type="spellEnd"/>
      <w:r>
        <w:rPr>
          <w:rFonts w:ascii="Roboto" w:hAnsi="Roboto"/>
          <w:color w:val="000000"/>
          <w:sz w:val="26"/>
          <w:szCs w:val="26"/>
        </w:rPr>
        <w:t> está trabajando en un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nuevo modelo</w:t>
      </w:r>
      <w:r>
        <w:rPr>
          <w:rFonts w:ascii="Roboto" w:hAnsi="Roboto"/>
          <w:color w:val="000000"/>
          <w:sz w:val="26"/>
          <w:szCs w:val="26"/>
        </w:rPr>
        <w:t> de reparto de los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fondos</w:t>
      </w:r>
      <w:r>
        <w:rPr>
          <w:rFonts w:ascii="Roboto" w:hAnsi="Roboto"/>
          <w:color w:val="000000"/>
          <w:sz w:val="26"/>
          <w:szCs w:val="26"/>
        </w:rPr>
        <w:t> del Seguro Familiar de Salud (SFS), llamado "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per cápita diferenciado por riesgo</w:t>
      </w:r>
      <w:r>
        <w:rPr>
          <w:rFonts w:ascii="Roboto" w:hAnsi="Roboto"/>
          <w:color w:val="000000"/>
          <w:sz w:val="26"/>
          <w:szCs w:val="26"/>
        </w:rPr>
        <w:t>".</w:t>
      </w:r>
    </w:p>
    <w:p w14:paraId="1A9A10D8" w14:textId="77777777" w:rsidR="000540FD" w:rsidRDefault="000540FD" w:rsidP="000540F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312" w:lineRule="atLeast"/>
        <w:rPr>
          <w:rFonts w:ascii="Roboto" w:hAnsi="Roboto"/>
          <w:color w:val="000000"/>
          <w:sz w:val="26"/>
          <w:szCs w:val="26"/>
        </w:rPr>
      </w:pPr>
      <w:r>
        <w:rPr>
          <w:rFonts w:ascii="Roboto" w:hAnsi="Roboto"/>
          <w:color w:val="000000"/>
          <w:sz w:val="26"/>
          <w:szCs w:val="26"/>
        </w:rPr>
        <w:t>Eso significa que no se entregaría la misma cantidad de dinero a las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ARS</w:t>
      </w:r>
      <w:r>
        <w:rPr>
          <w:rFonts w:ascii="Roboto" w:hAnsi="Roboto"/>
          <w:color w:val="000000"/>
          <w:sz w:val="26"/>
          <w:szCs w:val="26"/>
        </w:rPr>
        <w:t> por cada afiliado, sino que se tomaría en cuenta el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nivel de riesgo de enfermarse</w:t>
      </w:r>
      <w:r>
        <w:rPr>
          <w:rFonts w:ascii="Roboto" w:hAnsi="Roboto"/>
          <w:color w:val="000000"/>
          <w:sz w:val="26"/>
          <w:szCs w:val="26"/>
        </w:rPr>
        <w:t> según la edad y el sexo de las personas.</w:t>
      </w:r>
    </w:p>
    <w:p w14:paraId="24B8FBA2" w14:textId="77777777" w:rsidR="000540FD" w:rsidRDefault="000540FD" w:rsidP="000540F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312" w:lineRule="atLeast"/>
        <w:rPr>
          <w:rFonts w:ascii="Roboto" w:hAnsi="Roboto"/>
          <w:color w:val="000000"/>
          <w:sz w:val="26"/>
          <w:szCs w:val="26"/>
        </w:rPr>
      </w:pPr>
      <w:r>
        <w:rPr>
          <w:rFonts w:ascii="Roboto" w:hAnsi="Roboto"/>
          <w:color w:val="000000"/>
          <w:sz w:val="26"/>
          <w:szCs w:val="26"/>
        </w:rPr>
        <w:t>La idea del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cambio que se analiza</w:t>
      </w:r>
      <w:r>
        <w:rPr>
          <w:rFonts w:ascii="Roboto" w:hAnsi="Roboto"/>
          <w:color w:val="000000"/>
          <w:sz w:val="26"/>
          <w:szCs w:val="26"/>
        </w:rPr>
        <w:t>, según el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 xml:space="preserve">superintendente Miguel </w:t>
      </w:r>
      <w:proofErr w:type="spellStart"/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Ceara</w:t>
      </w:r>
      <w:proofErr w:type="spellEnd"/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 xml:space="preserve"> </w:t>
      </w:r>
      <w:proofErr w:type="spellStart"/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Hatton</w:t>
      </w:r>
      <w:proofErr w:type="spellEnd"/>
      <w:r>
        <w:rPr>
          <w:rFonts w:ascii="Roboto" w:hAnsi="Roboto"/>
          <w:color w:val="000000"/>
          <w:sz w:val="26"/>
          <w:szCs w:val="26"/>
        </w:rPr>
        <w:t>, es lograr un sistema más justo y sostenible.</w:t>
      </w:r>
    </w:p>
    <w:p w14:paraId="679A3A8F" w14:textId="77777777" w:rsidR="000540FD" w:rsidRDefault="000540FD" w:rsidP="000540F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312" w:lineRule="atLeast"/>
        <w:rPr>
          <w:rFonts w:ascii="Roboto" w:hAnsi="Roboto"/>
          <w:color w:val="000000"/>
          <w:sz w:val="26"/>
          <w:szCs w:val="26"/>
        </w:rPr>
      </w:pPr>
      <w:r>
        <w:rPr>
          <w:rFonts w:ascii="Roboto" w:hAnsi="Roboto"/>
          <w:color w:val="000000"/>
          <w:sz w:val="26"/>
          <w:szCs w:val="26"/>
        </w:rPr>
        <w:t>Sin embargo, la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ARS Yunen</w:t>
      </w:r>
      <w:r>
        <w:rPr>
          <w:rFonts w:ascii="Roboto" w:hAnsi="Roboto"/>
          <w:color w:val="000000"/>
          <w:sz w:val="26"/>
          <w:szCs w:val="26"/>
        </w:rPr>
        <w:t> considera que este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cambio perjudicaría</w:t>
      </w:r>
      <w:r>
        <w:rPr>
          <w:rFonts w:ascii="Roboto" w:hAnsi="Roboto"/>
          <w:color w:val="000000"/>
          <w:sz w:val="26"/>
          <w:szCs w:val="26"/>
        </w:rPr>
        <w:t> a las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ARS pequeñas</w:t>
      </w:r>
      <w:r>
        <w:rPr>
          <w:rFonts w:ascii="Roboto" w:hAnsi="Roboto"/>
          <w:color w:val="000000"/>
          <w:sz w:val="26"/>
          <w:szCs w:val="26"/>
        </w:rPr>
        <w:t> como ellos mismos, así como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ARS</w:t>
      </w:r>
      <w:r>
        <w:rPr>
          <w:rFonts w:ascii="Roboto" w:hAnsi="Roboto"/>
          <w:color w:val="000000"/>
          <w:sz w:val="26"/>
          <w:szCs w:val="26"/>
        </w:rPr>
        <w:t> Abel González o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ARS</w:t>
      </w:r>
      <w:r>
        <w:rPr>
          <w:rFonts w:ascii="Roboto" w:hAnsi="Roboto"/>
          <w:color w:val="000000"/>
          <w:sz w:val="26"/>
          <w:szCs w:val="26"/>
        </w:rPr>
        <w:t> Monumental que podrían quebrar si se les reduce el monto originalmente asignado.</w:t>
      </w:r>
    </w:p>
    <w:p w14:paraId="22C56F72" w14:textId="77777777" w:rsidR="000540FD" w:rsidRDefault="000540FD" w:rsidP="000540F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312" w:lineRule="atLeast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"Si la resolución del per cápita diferenciado se aprobara, pasaríamos de ser una </w:t>
      </w:r>
      <w:r>
        <w:rPr>
          <w:rStyle w:val="Textoennegrita"/>
          <w:rFonts w:ascii="Roboto" w:hAnsi="Roboto"/>
          <w:color w:val="000000"/>
          <w:sz w:val="28"/>
          <w:szCs w:val="28"/>
          <w:bdr w:val="single" w:sz="2" w:space="0" w:color="E5E7EB" w:frame="1"/>
        </w:rPr>
        <w:t>empresa exitosa</w:t>
      </w:r>
      <w:r>
        <w:rPr>
          <w:rFonts w:ascii="Roboto" w:hAnsi="Roboto"/>
          <w:color w:val="000000"/>
          <w:sz w:val="28"/>
          <w:szCs w:val="28"/>
        </w:rPr>
        <w:t>, bien manejada con </w:t>
      </w:r>
      <w:r>
        <w:rPr>
          <w:rStyle w:val="Textoennegrita"/>
          <w:rFonts w:ascii="Roboto" w:hAnsi="Roboto"/>
          <w:color w:val="000000"/>
          <w:sz w:val="28"/>
          <w:szCs w:val="28"/>
          <w:bdr w:val="single" w:sz="2" w:space="0" w:color="E5E7EB" w:frame="1"/>
        </w:rPr>
        <w:t>beneficios sostenibles</w:t>
      </w:r>
      <w:r>
        <w:rPr>
          <w:rFonts w:ascii="Roboto" w:hAnsi="Roboto"/>
          <w:color w:val="000000"/>
          <w:sz w:val="28"/>
          <w:szCs w:val="28"/>
        </w:rPr>
        <w:t> pagando impuestos por beneficios cada año, a una empresa que </w:t>
      </w:r>
      <w:r>
        <w:rPr>
          <w:rStyle w:val="Textoennegrita"/>
          <w:rFonts w:ascii="Roboto" w:hAnsi="Roboto"/>
          <w:color w:val="000000"/>
          <w:sz w:val="28"/>
          <w:szCs w:val="28"/>
          <w:bdr w:val="single" w:sz="2" w:space="0" w:color="E5E7EB" w:frame="1"/>
        </w:rPr>
        <w:t>pierde dinero</w:t>
      </w:r>
      <w:r>
        <w:rPr>
          <w:rFonts w:ascii="Roboto" w:hAnsi="Roboto"/>
          <w:color w:val="000000"/>
          <w:sz w:val="28"/>
          <w:szCs w:val="28"/>
        </w:rPr>
        <w:t xml:space="preserve"> sin ninguna posibilidad de aumentar sus beneficios, aunque aumenten sus ingresos, porque el ingreso calculado como cápita es deficitario", explicó el presidente del Consejo de </w:t>
      </w:r>
      <w:proofErr w:type="gramStart"/>
      <w:r>
        <w:rPr>
          <w:rFonts w:ascii="Roboto" w:hAnsi="Roboto"/>
          <w:color w:val="000000"/>
          <w:sz w:val="28"/>
          <w:szCs w:val="28"/>
        </w:rPr>
        <w:t>Directores</w:t>
      </w:r>
      <w:proofErr w:type="gramEnd"/>
      <w:r>
        <w:rPr>
          <w:rFonts w:ascii="Roboto" w:hAnsi="Roboto"/>
          <w:color w:val="000000"/>
          <w:sz w:val="28"/>
          <w:szCs w:val="28"/>
        </w:rPr>
        <w:t xml:space="preserve"> del Grupo Yunen, José Rafael Yunen.</w:t>
      </w:r>
    </w:p>
    <w:p w14:paraId="0B5126AF" w14:textId="77777777" w:rsidR="000540FD" w:rsidRDefault="000540FD" w:rsidP="000540FD">
      <w:pPr>
        <w:pStyle w:val="Ttulo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240" w:lineRule="atLeast"/>
        <w:rPr>
          <w:rFonts w:ascii="Arial" w:hAnsi="Arial" w:cs="Arial"/>
          <w:color w:val="000000"/>
          <w:sz w:val="34"/>
          <w:szCs w:val="34"/>
        </w:rPr>
      </w:pPr>
      <w:r>
        <w:rPr>
          <w:rStyle w:val="Textoennegrita"/>
          <w:rFonts w:ascii="Arial" w:hAnsi="Arial" w:cs="Arial"/>
          <w:b w:val="0"/>
          <w:bCs w:val="0"/>
          <w:color w:val="000000"/>
          <w:sz w:val="34"/>
          <w:szCs w:val="34"/>
          <w:bdr w:val="single" w:sz="2" w:space="0" w:color="E5E7EB" w:frame="1"/>
        </w:rPr>
        <w:lastRenderedPageBreak/>
        <w:t>Beneficios para los grandes</w:t>
      </w:r>
    </w:p>
    <w:p w14:paraId="4345B8E1" w14:textId="77777777" w:rsidR="000540FD" w:rsidRDefault="000540FD" w:rsidP="000540F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312" w:lineRule="atLeast"/>
        <w:rPr>
          <w:rFonts w:ascii="Roboto" w:hAnsi="Roboto"/>
          <w:color w:val="000000"/>
          <w:sz w:val="26"/>
          <w:szCs w:val="26"/>
        </w:rPr>
      </w:pPr>
      <w:r>
        <w:rPr>
          <w:rFonts w:ascii="Roboto" w:hAnsi="Roboto"/>
          <w:color w:val="000000"/>
          <w:sz w:val="26"/>
          <w:szCs w:val="26"/>
        </w:rPr>
        <w:t>En una carta enviada a </w:t>
      </w:r>
      <w:proofErr w:type="spellStart"/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Sisalril</w:t>
      </w:r>
      <w:proofErr w:type="spellEnd"/>
      <w:r>
        <w:rPr>
          <w:rFonts w:ascii="Roboto" w:hAnsi="Roboto"/>
          <w:color w:val="000000"/>
          <w:sz w:val="26"/>
          <w:szCs w:val="26"/>
        </w:rPr>
        <w:t> el 23 de mayo, la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ARS Yunen</w:t>
      </w:r>
      <w:r>
        <w:rPr>
          <w:rFonts w:ascii="Roboto" w:hAnsi="Roboto"/>
          <w:color w:val="000000"/>
          <w:sz w:val="26"/>
          <w:szCs w:val="26"/>
        </w:rPr>
        <w:t> advirtió que este cambio crearía una "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competencia desleal</w:t>
      </w:r>
      <w:r>
        <w:rPr>
          <w:rFonts w:ascii="Roboto" w:hAnsi="Roboto"/>
          <w:color w:val="000000"/>
          <w:sz w:val="26"/>
          <w:szCs w:val="26"/>
        </w:rPr>
        <w:t>" y favorecería a las tres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ARS más grandes</w:t>
      </w:r>
      <w:r>
        <w:rPr>
          <w:rFonts w:ascii="Roboto" w:hAnsi="Roboto"/>
          <w:color w:val="000000"/>
          <w:sz w:val="26"/>
          <w:szCs w:val="26"/>
        </w:rPr>
        <w:t>, que recibirían más dinero amparadas en tener pacientes con más enfermedades, pero luego podrían buscar más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afiliados jóvenes</w:t>
      </w:r>
      <w:r>
        <w:rPr>
          <w:rFonts w:ascii="Roboto" w:hAnsi="Roboto"/>
          <w:color w:val="000000"/>
          <w:sz w:val="26"/>
          <w:szCs w:val="26"/>
        </w:rPr>
        <w:t>, que son los que tienen menos riesgos de enfermarse, y quedarse también con el dinero extra.</w:t>
      </w:r>
    </w:p>
    <w:p w14:paraId="0EB0D7CA" w14:textId="77777777" w:rsidR="000540FD" w:rsidRDefault="000540FD" w:rsidP="000540F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312" w:lineRule="atLeast"/>
        <w:rPr>
          <w:rFonts w:ascii="Roboto" w:hAnsi="Roboto"/>
          <w:color w:val="000000"/>
          <w:sz w:val="26"/>
          <w:szCs w:val="26"/>
        </w:rPr>
      </w:pPr>
      <w:r>
        <w:rPr>
          <w:rFonts w:ascii="Roboto" w:hAnsi="Roboto"/>
          <w:color w:val="000000"/>
          <w:sz w:val="26"/>
          <w:szCs w:val="26"/>
        </w:rPr>
        <w:t>"Esto llevaría a la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quiebra a seis ARS</w:t>
      </w:r>
      <w:r>
        <w:rPr>
          <w:rFonts w:ascii="Roboto" w:hAnsi="Roboto"/>
          <w:color w:val="000000"/>
          <w:sz w:val="26"/>
          <w:szCs w:val="26"/>
        </w:rPr>
        <w:t> de inmediato, y a otras a corto plazo", señala el comunicado en el que se indica que se estaría rompiendo con la seguridad jurídica, ya que las reglas del juego cambiarían de forma que afectaría a empresas que han cumplido con la ley.</w:t>
      </w:r>
    </w:p>
    <w:p w14:paraId="3C71E751" w14:textId="3153205F" w:rsidR="000540FD" w:rsidRPr="000540FD" w:rsidRDefault="000540FD" w:rsidP="000540F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312" w:lineRule="atLeast"/>
        <w:rPr>
          <w:rFonts w:ascii="Roboto" w:hAnsi="Roboto"/>
          <w:color w:val="000000"/>
          <w:sz w:val="26"/>
          <w:szCs w:val="26"/>
        </w:rPr>
      </w:pPr>
      <w:r>
        <w:rPr>
          <w:rStyle w:val="Textoennegrita"/>
          <w:rFonts w:ascii="Arial" w:hAnsi="Arial" w:cs="Arial"/>
          <w:b w:val="0"/>
          <w:bCs w:val="0"/>
          <w:color w:val="000000"/>
          <w:sz w:val="34"/>
          <w:szCs w:val="34"/>
          <w:bdr w:val="single" w:sz="2" w:space="0" w:color="E5E7EB" w:frame="1"/>
        </w:rPr>
        <w:t>No es definitivo</w:t>
      </w:r>
      <w:r>
        <w:rPr>
          <w:rStyle w:val="Textoennegrita"/>
          <w:rFonts w:ascii="Arial" w:hAnsi="Arial" w:cs="Arial"/>
          <w:b w:val="0"/>
          <w:bCs w:val="0"/>
          <w:color w:val="000000"/>
          <w:sz w:val="34"/>
          <w:szCs w:val="34"/>
          <w:bdr w:val="single" w:sz="2" w:space="0" w:color="E5E7EB" w:frame="1"/>
        </w:rPr>
        <w:t>.</w:t>
      </w:r>
    </w:p>
    <w:p w14:paraId="78C3E065" w14:textId="77777777" w:rsidR="000540FD" w:rsidRDefault="000540FD" w:rsidP="000540F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312" w:lineRule="atLeast"/>
        <w:rPr>
          <w:rFonts w:ascii="Roboto" w:hAnsi="Roboto"/>
          <w:color w:val="000000"/>
          <w:sz w:val="26"/>
          <w:szCs w:val="26"/>
        </w:rPr>
      </w:pPr>
      <w:r>
        <w:rPr>
          <w:rFonts w:ascii="Roboto" w:hAnsi="Roboto"/>
          <w:color w:val="000000"/>
          <w:sz w:val="26"/>
          <w:szCs w:val="26"/>
        </w:rPr>
        <w:t>Por su parte, </w:t>
      </w:r>
      <w:proofErr w:type="spellStart"/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Sisalril</w:t>
      </w:r>
      <w:proofErr w:type="spellEnd"/>
      <w:r>
        <w:rPr>
          <w:rFonts w:ascii="Roboto" w:hAnsi="Roboto"/>
          <w:color w:val="000000"/>
          <w:sz w:val="26"/>
          <w:szCs w:val="26"/>
        </w:rPr>
        <w:t> explicó que el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modelo</w:t>
      </w:r>
      <w:r>
        <w:rPr>
          <w:rFonts w:ascii="Roboto" w:hAnsi="Roboto"/>
          <w:color w:val="000000"/>
          <w:sz w:val="26"/>
          <w:szCs w:val="26"/>
        </w:rPr>
        <w:t> aún está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en discusión</w:t>
      </w:r>
      <w:r>
        <w:rPr>
          <w:rFonts w:ascii="Roboto" w:hAnsi="Roboto"/>
          <w:color w:val="000000"/>
          <w:sz w:val="26"/>
          <w:szCs w:val="26"/>
        </w:rPr>
        <w:t> y no es una decisión definitiva. Insisten en que su objetivo es mejorar la distribución de los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fondos</w:t>
      </w:r>
      <w:r>
        <w:rPr>
          <w:rFonts w:ascii="Roboto" w:hAnsi="Roboto"/>
          <w:color w:val="000000"/>
          <w:sz w:val="26"/>
          <w:szCs w:val="26"/>
        </w:rPr>
        <w:t> del sistema de salud para que se ajusten a las verdaderas necesidades de la población.</w:t>
      </w:r>
    </w:p>
    <w:p w14:paraId="0D8477F5" w14:textId="77777777" w:rsidR="000540FD" w:rsidRDefault="000540FD" w:rsidP="000540F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312" w:lineRule="atLeast"/>
        <w:rPr>
          <w:rFonts w:ascii="Roboto" w:hAnsi="Roboto"/>
          <w:color w:val="000000"/>
          <w:sz w:val="26"/>
          <w:szCs w:val="26"/>
        </w:rPr>
      </w:pPr>
      <w:r>
        <w:rPr>
          <w:rFonts w:ascii="Roboto" w:hAnsi="Roboto"/>
          <w:color w:val="000000"/>
          <w:sz w:val="26"/>
          <w:szCs w:val="26"/>
        </w:rPr>
        <w:t>Además, señalaron problemas con la calidad de los registros médicos actuales, como el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mal manejo de los diagnósticos</w:t>
      </w:r>
      <w:r>
        <w:rPr>
          <w:rFonts w:ascii="Roboto" w:hAnsi="Roboto"/>
          <w:color w:val="000000"/>
          <w:sz w:val="26"/>
          <w:szCs w:val="26"/>
        </w:rPr>
        <w:t> de enfermedades como el cáncer.</w:t>
      </w:r>
    </w:p>
    <w:p w14:paraId="2DFAAFD2" w14:textId="77777777" w:rsidR="000540FD" w:rsidRDefault="000540FD" w:rsidP="000540F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312" w:lineRule="atLeast"/>
        <w:rPr>
          <w:rFonts w:ascii="Roboto" w:hAnsi="Roboto"/>
          <w:color w:val="000000"/>
          <w:sz w:val="26"/>
          <w:szCs w:val="26"/>
        </w:rPr>
      </w:pPr>
      <w:r>
        <w:rPr>
          <w:rFonts w:ascii="Roboto" w:hAnsi="Roboto"/>
          <w:color w:val="000000"/>
          <w:sz w:val="26"/>
          <w:szCs w:val="26"/>
        </w:rPr>
        <w:t>El proyecto será presentado próximamente ante el </w:t>
      </w:r>
      <w:r>
        <w:rPr>
          <w:rStyle w:val="Textoennegrita"/>
          <w:rFonts w:ascii="Roboto" w:hAnsi="Roboto"/>
          <w:color w:val="000000"/>
          <w:sz w:val="26"/>
          <w:szCs w:val="26"/>
          <w:bdr w:val="single" w:sz="2" w:space="0" w:color="E5E7EB" w:frame="1"/>
        </w:rPr>
        <w:t>Consejo Nacional de Seguridad Social </w:t>
      </w:r>
      <w:r>
        <w:rPr>
          <w:rFonts w:ascii="Roboto" w:hAnsi="Roboto"/>
          <w:color w:val="000000"/>
          <w:sz w:val="26"/>
          <w:szCs w:val="26"/>
        </w:rPr>
        <w:t>(CNSS), que es el organismo que decidirá si se aprueba o no.</w:t>
      </w:r>
    </w:p>
    <w:p w14:paraId="1E594C9D" w14:textId="09BF9725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Arial" w:eastAsia="Times New Roman" w:hAnsi="Arial" w:cs="Arial"/>
          <w:b/>
          <w:bCs/>
          <w:color w:val="4472C4" w:themeColor="accent1"/>
          <w:kern w:val="36"/>
          <w:sz w:val="77"/>
          <w:szCs w:val="77"/>
          <w:lang w:eastAsia="es-419"/>
        </w:rPr>
      </w:pPr>
      <w:r w:rsidRPr="000540FD">
        <w:rPr>
          <w:rFonts w:ascii="Arial" w:eastAsia="Times New Roman" w:hAnsi="Arial" w:cs="Arial"/>
          <w:b/>
          <w:bCs/>
          <w:color w:val="4472C4" w:themeColor="accent1"/>
          <w:kern w:val="36"/>
          <w:sz w:val="77"/>
          <w:szCs w:val="77"/>
          <w:lang w:eastAsia="es-419"/>
        </w:rPr>
        <w:t>Como puede inteca beneficiarse de esto:</w:t>
      </w:r>
    </w:p>
    <w:p w14:paraId="0E72E792" w14:textId="77777777" w:rsid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>
        <w:rPr>
          <w:rFonts w:ascii="Roboto" w:hAnsi="Roboto"/>
          <w:color w:val="000000"/>
          <w:sz w:val="26"/>
          <w:szCs w:val="26"/>
        </w:rPr>
        <w:t>Propuesta y solución de inteca a las ars para contra propuesta a la silsaril a cambio de apoyo del mismo para capacitación de los empleados de las ars</w:t>
      </w:r>
      <w:r>
        <w:rPr>
          <w:rFonts w:ascii="Roboto" w:hAnsi="Roboto"/>
          <w:color w:val="000000"/>
          <w:sz w:val="26"/>
          <w:szCs w:val="26"/>
        </w:rPr>
        <w:t>.</w:t>
      </w:r>
      <w:r>
        <w:rPr>
          <w:rFonts w:ascii="Roboto" w:hAnsi="Roboto"/>
          <w:color w:val="000000"/>
          <w:sz w:val="26"/>
          <w:szCs w:val="26"/>
        </w:rPr>
        <w:t xml:space="preserve">                                                            </w:t>
      </w:r>
    </w:p>
    <w:p w14:paraId="21789973" w14:textId="77777777" w:rsid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62821054" w14:textId="77777777" w:rsid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53892077" w14:textId="2AA3A1C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>
        <w:rPr>
          <w:rFonts w:ascii="Roboto" w:hAnsi="Roboto"/>
          <w:color w:val="000000"/>
          <w:sz w:val="26"/>
          <w:szCs w:val="26"/>
        </w:rPr>
        <w:lastRenderedPageBreak/>
        <w:t xml:space="preserve">        </w:t>
      </w:r>
      <w:r w:rsidRPr="000540FD">
        <w:rPr>
          <w:rFonts w:ascii="Segoe UI Emoji" w:hAnsi="Segoe UI Emoji" w:cs="Segoe UI Emoji"/>
          <w:color w:val="4472C4" w:themeColor="accent1"/>
          <w:sz w:val="26"/>
          <w:szCs w:val="26"/>
        </w:rPr>
        <w:t>🧭</w:t>
      </w:r>
      <w:r w:rsidRPr="000540FD">
        <w:rPr>
          <w:rFonts w:ascii="Roboto" w:hAnsi="Roboto"/>
          <w:color w:val="4472C4" w:themeColor="accent1"/>
          <w:sz w:val="26"/>
          <w:szCs w:val="26"/>
        </w:rPr>
        <w:t xml:space="preserve"> Propuesta Integral: “Modelo Mixto de Riesgo y Solidaridad”</w:t>
      </w:r>
    </w:p>
    <w:p w14:paraId="4EAF59DC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38172497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El objetivo es mantener el interés de las ARS privadas, proteger a la población envejeciente y garantizar equilibrio financiero.</w:t>
      </w:r>
    </w:p>
    <w:p w14:paraId="6AE37C43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Se basa en cuatro pilares complementarios:</w:t>
      </w:r>
    </w:p>
    <w:p w14:paraId="3422F427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3BFD3F87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7D7B0331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---</w:t>
      </w:r>
    </w:p>
    <w:p w14:paraId="7336773E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0B897CE3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Segoe UI Emoji" w:hAnsi="Segoe UI Emoji" w:cs="Segoe UI Emoji"/>
          <w:color w:val="000000"/>
          <w:sz w:val="26"/>
          <w:szCs w:val="26"/>
        </w:rPr>
        <w:t>🧮</w:t>
      </w:r>
      <w:r w:rsidRPr="000540FD">
        <w:rPr>
          <w:rFonts w:ascii="Roboto" w:hAnsi="Roboto"/>
          <w:color w:val="000000"/>
          <w:sz w:val="26"/>
          <w:szCs w:val="26"/>
        </w:rPr>
        <w:t xml:space="preserve"> 1. Fondo de Compensación por Alto Riesgo (FONCARIS)</w:t>
      </w:r>
    </w:p>
    <w:p w14:paraId="3488D194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7FDCEEAF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Qué es:</w:t>
      </w:r>
    </w:p>
    <w:p w14:paraId="59BD9A32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Un fondo especial dentro del FONASA que reembolse a las ARS los gastos médicos extraordinarios de afiliados de alto riesgo (mayores de 65 años, pacientes oncológicos, insuficiencia renal, etc.).</w:t>
      </w:r>
    </w:p>
    <w:p w14:paraId="59D15C49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4FCE3A7B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Cómo se financiaría:</w:t>
      </w:r>
    </w:p>
    <w:p w14:paraId="35A651FB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48A3E718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1% del total de cotizaciones al SFS.</w:t>
      </w:r>
    </w:p>
    <w:p w14:paraId="52E5668C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459BF91A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Aportes iniciales del CNSS y SISALRIL.</w:t>
      </w:r>
    </w:p>
    <w:p w14:paraId="0BB03809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02625FBB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Redistribución de excedentes anuales de las ARS con baja siniestralidad.</w:t>
      </w:r>
    </w:p>
    <w:p w14:paraId="12FF2DBA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6289F32A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614284BF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lastRenderedPageBreak/>
        <w:t>Beneficio:</w:t>
      </w:r>
    </w:p>
    <w:p w14:paraId="4FEB8234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8EEF789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Las ARS no perderían dinero por atender envejecientes.</w:t>
      </w:r>
    </w:p>
    <w:p w14:paraId="229AF2CD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2D616682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Los adultos mayores seguirían recibiendo cobertura sin discriminación.</w:t>
      </w:r>
    </w:p>
    <w:p w14:paraId="0CA6605F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65CBD980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Se reduciría el incentivo a evitar grupos de alto gasto.</w:t>
      </w:r>
    </w:p>
    <w:p w14:paraId="5863FE28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0F1A2BA3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7A08BD4A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Ejemplo internacional:</w:t>
      </w:r>
    </w:p>
    <w:p w14:paraId="3C52BF1D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Chile, Costa Rica y Colombia tienen fondos de compensación similares, y lograron mayor estabilidad del sistema y reducción de inequidades.</w:t>
      </w:r>
    </w:p>
    <w:p w14:paraId="4D7A7F7F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6F79FB4F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35AAED2D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---</w:t>
      </w:r>
    </w:p>
    <w:p w14:paraId="7959AB57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000F1A33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Segoe UI Emoji" w:hAnsi="Segoe UI Emoji" w:cs="Segoe UI Emoji"/>
          <w:color w:val="000000"/>
          <w:sz w:val="26"/>
          <w:szCs w:val="26"/>
        </w:rPr>
        <w:t>⚖</w:t>
      </w:r>
      <w:r w:rsidRPr="000540FD">
        <w:rPr>
          <w:rFonts w:ascii="Roboto" w:hAnsi="Roboto"/>
          <w:color w:val="000000"/>
          <w:sz w:val="26"/>
          <w:szCs w:val="26"/>
        </w:rPr>
        <w:t xml:space="preserve"> 2. Per cápita ajustado por riesgo real (no solo edad y sexo)</w:t>
      </w:r>
    </w:p>
    <w:p w14:paraId="5E6CD817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0AAC1BA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Problema actual:</w:t>
      </w:r>
    </w:p>
    <w:p w14:paraId="01D6B5BF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El modelo propuesto por SISALRIL solo diferencia por edad y sexo, pero no por condiciones de salud o comorbilidades.</w:t>
      </w:r>
    </w:p>
    <w:p w14:paraId="25070434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93911FE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Propuesta:</w:t>
      </w:r>
    </w:p>
    <w:p w14:paraId="3D73F240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Agregar variables adicionales:</w:t>
      </w:r>
    </w:p>
    <w:p w14:paraId="242144D6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2B5A9970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lastRenderedPageBreak/>
        <w:t>Enfermedades crónicas (hipertensión, diabetes, cáncer).</w:t>
      </w:r>
    </w:p>
    <w:p w14:paraId="4DBD3368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6E69EED3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Factores geográficos (zonas rurales con menos servicios disponibles).</w:t>
      </w:r>
    </w:p>
    <w:p w14:paraId="70FC10E1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1208E3D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Nivel socioeconómico (determinante en acceso a salud).</w:t>
      </w:r>
    </w:p>
    <w:p w14:paraId="28FD6F70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DA8D4C9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70F7E63A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Impacto:</w:t>
      </w:r>
    </w:p>
    <w:p w14:paraId="71483CA6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 xml:space="preserve">Más precisión en el financiamiento </w:t>
      </w:r>
      <w:r w:rsidRPr="000540FD">
        <w:rPr>
          <w:rFonts w:ascii="Times New Roman" w:hAnsi="Times New Roman" w:cs="Times New Roman"/>
          <w:color w:val="000000"/>
          <w:sz w:val="26"/>
          <w:szCs w:val="26"/>
        </w:rPr>
        <w:t>→</w:t>
      </w:r>
      <w:r w:rsidRPr="000540FD">
        <w:rPr>
          <w:rFonts w:ascii="Roboto" w:hAnsi="Roboto"/>
          <w:color w:val="000000"/>
          <w:sz w:val="26"/>
          <w:szCs w:val="26"/>
        </w:rPr>
        <w:t xml:space="preserve"> menos desigualdad entre ARS con perfiles distintos de afiliados.</w:t>
      </w:r>
    </w:p>
    <w:p w14:paraId="7B4B96A0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DDE6EBD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794B10D0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---</w:t>
      </w:r>
    </w:p>
    <w:p w14:paraId="4FD0F8B1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EE18554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Segoe UI Emoji" w:hAnsi="Segoe UI Emoji" w:cs="Segoe UI Emoji"/>
          <w:color w:val="000000"/>
          <w:sz w:val="26"/>
          <w:szCs w:val="26"/>
        </w:rPr>
        <w:t>🏥</w:t>
      </w:r>
      <w:r w:rsidRPr="000540FD">
        <w:rPr>
          <w:rFonts w:ascii="Roboto" w:hAnsi="Roboto"/>
          <w:color w:val="000000"/>
          <w:sz w:val="26"/>
          <w:szCs w:val="26"/>
        </w:rPr>
        <w:t xml:space="preserve"> 3. Contratos de desempeño y calidad</w:t>
      </w:r>
    </w:p>
    <w:p w14:paraId="4CC4B7FD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31D341E6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Qué es:</w:t>
      </w:r>
    </w:p>
    <w:p w14:paraId="1093D7FE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Vincular una parte del pago de las ARS (por ejemplo, el 10%) a indicadores de calidad en la atención, especialmente a adultos mayores.</w:t>
      </w:r>
    </w:p>
    <w:p w14:paraId="12D1F109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B189DDE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Ejemplo de indicadores:</w:t>
      </w:r>
    </w:p>
    <w:p w14:paraId="1A6D1EF3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674906D3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Control de enfermedades crónicas,</w:t>
      </w:r>
    </w:p>
    <w:p w14:paraId="7797AF7B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133F1EE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Tiempo de espera en citas médicas,</w:t>
      </w:r>
    </w:p>
    <w:p w14:paraId="10D4EED6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53DB4422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Continuidad del tratamiento,</w:t>
      </w:r>
    </w:p>
    <w:p w14:paraId="1DD1B5A1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1319CD6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Satisfacción del afiliado envejeciente.</w:t>
      </w:r>
    </w:p>
    <w:p w14:paraId="375A6BD3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22E74C54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E6801B8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Ventaja:</w:t>
      </w:r>
    </w:p>
    <w:p w14:paraId="1716A319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Las ARS ganarían más por cuidar mejor a los envejecientes, no por atender menos.</w:t>
      </w:r>
    </w:p>
    <w:p w14:paraId="5A7BB2D9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Esto cambia el incentivo económico.</w:t>
      </w:r>
    </w:p>
    <w:p w14:paraId="56891495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63E78B97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44E31C89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---</w:t>
      </w:r>
    </w:p>
    <w:p w14:paraId="57CA9733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2175ACB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Segoe UI Emoji" w:hAnsi="Segoe UI Emoji" w:cs="Segoe UI Emoji"/>
          <w:color w:val="000000"/>
          <w:sz w:val="26"/>
          <w:szCs w:val="26"/>
        </w:rPr>
        <w:t>💊</w:t>
      </w:r>
      <w:r w:rsidRPr="000540FD">
        <w:rPr>
          <w:rFonts w:ascii="Roboto" w:hAnsi="Roboto"/>
          <w:color w:val="000000"/>
          <w:sz w:val="26"/>
          <w:szCs w:val="26"/>
        </w:rPr>
        <w:t xml:space="preserve"> 4. Red pública-privada de atención geriátrica</w:t>
      </w:r>
    </w:p>
    <w:p w14:paraId="2502DA5D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797FF999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Objetivo:</w:t>
      </w:r>
    </w:p>
    <w:p w14:paraId="3D975E4A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Evitar que cada ARS tenga que crear su propia red costosa de servicios para envejecientes.</w:t>
      </w:r>
    </w:p>
    <w:p w14:paraId="73091286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3E18901F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Propuesta:</w:t>
      </w:r>
    </w:p>
    <w:p w14:paraId="4F5DCF66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5CEA6999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Crear una red mixta público-privada de servicios geriátricos especializados (medicina interna, rehabilitación, cuidados crónicos).</w:t>
      </w:r>
    </w:p>
    <w:p w14:paraId="27E201DA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246DD7EC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lastRenderedPageBreak/>
        <w:t>Financiada parcialmente con recursos del FONCARIS y con incentivos fiscales a las clínicas que se integren.</w:t>
      </w:r>
    </w:p>
    <w:p w14:paraId="25013667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3A90D3B4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61166267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Beneficio:</w:t>
      </w:r>
    </w:p>
    <w:p w14:paraId="32C9E43B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Disminuye los costos unitarios de atención a envejecientes y hace más viable su cobertura para todas las ARS.</w:t>
      </w:r>
    </w:p>
    <w:p w14:paraId="06458AF9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34F11646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FF04E87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---</w:t>
      </w:r>
    </w:p>
    <w:p w14:paraId="61015560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0B3536E5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Segoe UI Emoji" w:hAnsi="Segoe UI Emoji" w:cs="Segoe UI Emoji"/>
          <w:color w:val="000000"/>
          <w:sz w:val="26"/>
          <w:szCs w:val="26"/>
        </w:rPr>
        <w:t>🔍</w:t>
      </w:r>
      <w:r w:rsidRPr="000540FD">
        <w:rPr>
          <w:rFonts w:ascii="Roboto" w:hAnsi="Roboto"/>
          <w:color w:val="000000"/>
          <w:sz w:val="26"/>
          <w:szCs w:val="26"/>
        </w:rPr>
        <w:t xml:space="preserve"> 5. En resumen — Cómo se resuelve la disyuntiva</w:t>
      </w:r>
    </w:p>
    <w:p w14:paraId="13879BB4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546CF7D2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Problema</w:t>
      </w:r>
      <w:r w:rsidRPr="000540FD">
        <w:rPr>
          <w:rFonts w:ascii="Roboto" w:hAnsi="Roboto"/>
          <w:color w:val="000000"/>
          <w:sz w:val="26"/>
          <w:szCs w:val="26"/>
        </w:rPr>
        <w:tab/>
        <w:t>Solución propuesta</w:t>
      </w:r>
      <w:r w:rsidRPr="000540FD">
        <w:rPr>
          <w:rFonts w:ascii="Roboto" w:hAnsi="Roboto"/>
          <w:color w:val="000000"/>
          <w:sz w:val="26"/>
          <w:szCs w:val="26"/>
        </w:rPr>
        <w:tab/>
        <w:t>Efecto esperado</w:t>
      </w:r>
    </w:p>
    <w:p w14:paraId="736C0C4D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320DE16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Envejecientes encarecen el sistema</w:t>
      </w:r>
      <w:r w:rsidRPr="000540FD">
        <w:rPr>
          <w:rFonts w:ascii="Roboto" w:hAnsi="Roboto"/>
          <w:color w:val="000000"/>
          <w:sz w:val="26"/>
          <w:szCs w:val="26"/>
        </w:rPr>
        <w:tab/>
        <w:t>Fondo de compensación (FONCARIS)</w:t>
      </w:r>
      <w:r w:rsidRPr="000540FD">
        <w:rPr>
          <w:rFonts w:ascii="Roboto" w:hAnsi="Roboto"/>
          <w:color w:val="000000"/>
          <w:sz w:val="26"/>
          <w:szCs w:val="26"/>
        </w:rPr>
        <w:tab/>
        <w:t>Se distribuye el riesgo financiero</w:t>
      </w:r>
    </w:p>
    <w:p w14:paraId="6EF4AC0F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ARS evitan afiliados de alto riesgo</w:t>
      </w:r>
      <w:r w:rsidRPr="000540FD">
        <w:rPr>
          <w:rFonts w:ascii="Roboto" w:hAnsi="Roboto"/>
          <w:color w:val="000000"/>
          <w:sz w:val="26"/>
          <w:szCs w:val="26"/>
        </w:rPr>
        <w:tab/>
        <w:t>Pago adicional según riesgo real</w:t>
      </w:r>
      <w:r w:rsidRPr="000540FD">
        <w:rPr>
          <w:rFonts w:ascii="Roboto" w:hAnsi="Roboto"/>
          <w:color w:val="000000"/>
          <w:sz w:val="26"/>
          <w:szCs w:val="26"/>
        </w:rPr>
        <w:tab/>
        <w:t>Se elimina incentivo a discriminar</w:t>
      </w:r>
    </w:p>
    <w:p w14:paraId="3B79B2E3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Calidad desigual</w:t>
      </w:r>
      <w:r w:rsidRPr="000540FD">
        <w:rPr>
          <w:rFonts w:ascii="Roboto" w:hAnsi="Roboto"/>
          <w:color w:val="000000"/>
          <w:sz w:val="26"/>
          <w:szCs w:val="26"/>
        </w:rPr>
        <w:tab/>
        <w:t>Contratos por desempeño</w:t>
      </w:r>
      <w:r w:rsidRPr="000540FD">
        <w:rPr>
          <w:rFonts w:ascii="Roboto" w:hAnsi="Roboto"/>
          <w:color w:val="000000"/>
          <w:sz w:val="26"/>
          <w:szCs w:val="26"/>
        </w:rPr>
        <w:tab/>
        <w:t>Se premia la buena atención</w:t>
      </w:r>
    </w:p>
    <w:p w14:paraId="46D0769F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Costos elevados de red geriátrica</w:t>
      </w:r>
      <w:r w:rsidRPr="000540FD">
        <w:rPr>
          <w:rFonts w:ascii="Roboto" w:hAnsi="Roboto"/>
          <w:color w:val="000000"/>
          <w:sz w:val="26"/>
          <w:szCs w:val="26"/>
        </w:rPr>
        <w:tab/>
        <w:t>Red común público-privada</w:t>
      </w:r>
      <w:r w:rsidRPr="000540FD">
        <w:rPr>
          <w:rFonts w:ascii="Roboto" w:hAnsi="Roboto"/>
          <w:color w:val="000000"/>
          <w:sz w:val="26"/>
          <w:szCs w:val="26"/>
        </w:rPr>
        <w:tab/>
        <w:t>Se reducen gastos y se amplía cobertura</w:t>
      </w:r>
    </w:p>
    <w:p w14:paraId="46638887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737989EB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8ACE546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3BE46D4C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lastRenderedPageBreak/>
        <w:t>---</w:t>
      </w:r>
    </w:p>
    <w:p w14:paraId="4541BF4C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0654936A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Segoe UI Emoji" w:hAnsi="Segoe UI Emoji" w:cs="Segoe UI Emoji"/>
          <w:color w:val="000000"/>
          <w:sz w:val="26"/>
          <w:szCs w:val="26"/>
        </w:rPr>
        <w:t>🧠</w:t>
      </w:r>
      <w:r w:rsidRPr="000540FD">
        <w:rPr>
          <w:rFonts w:ascii="Roboto" w:hAnsi="Roboto"/>
          <w:color w:val="000000"/>
          <w:sz w:val="26"/>
          <w:szCs w:val="26"/>
        </w:rPr>
        <w:t xml:space="preserve"> 6. Conclusión técnica</w:t>
      </w:r>
    </w:p>
    <w:p w14:paraId="75A803F3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49AC7531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Para resolver el dilema de las ARS y los envejecientes, no basta con cambiar la cápita.</w:t>
      </w:r>
    </w:p>
    <w:p w14:paraId="7818B2A3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Se necesita un mecanismo de compensación del riesgo, incentivos por calidad, y una red geriátrica compartida.</w:t>
      </w:r>
    </w:p>
    <w:p w14:paraId="668A0F3F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5977E3CA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Así se logra:</w:t>
      </w:r>
    </w:p>
    <w:p w14:paraId="676A988B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7F6AF65E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Sostenibilidad para las ARS,</w:t>
      </w:r>
    </w:p>
    <w:p w14:paraId="457A673D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03D76901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Justicia para los envejecientes,</w:t>
      </w:r>
    </w:p>
    <w:p w14:paraId="79E3F6AB" w14:textId="77777777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</w:p>
    <w:p w14:paraId="16161C2B" w14:textId="397AFDE0" w:rsid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Roboto" w:hAnsi="Roboto"/>
          <w:color w:val="000000"/>
          <w:sz w:val="26"/>
          <w:szCs w:val="26"/>
        </w:rPr>
      </w:pPr>
      <w:r w:rsidRPr="000540FD">
        <w:rPr>
          <w:rFonts w:ascii="Roboto" w:hAnsi="Roboto"/>
          <w:color w:val="000000"/>
          <w:sz w:val="26"/>
          <w:szCs w:val="26"/>
        </w:rPr>
        <w:t>Y confianza para el sistema en su conjunto.</w:t>
      </w:r>
    </w:p>
    <w:p w14:paraId="60DDA6A3" w14:textId="77777777" w:rsid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Arial" w:eastAsia="Times New Roman" w:hAnsi="Arial" w:cs="Arial"/>
          <w:b/>
          <w:bCs/>
          <w:color w:val="000000"/>
          <w:kern w:val="36"/>
          <w:sz w:val="77"/>
          <w:szCs w:val="77"/>
          <w:lang w:eastAsia="es-419"/>
        </w:rPr>
      </w:pPr>
    </w:p>
    <w:p w14:paraId="7E64999E" w14:textId="77777777" w:rsidR="000540FD" w:rsidRDefault="000540FD" w:rsidP="000540FD">
      <w:pPr>
        <w:pStyle w:val="Ttulo3"/>
        <w:rPr>
          <w:rFonts w:ascii="Roboto" w:hAnsi="Roboto"/>
          <w:color w:val="000000"/>
          <w:sz w:val="26"/>
          <w:szCs w:val="26"/>
        </w:rPr>
      </w:pPr>
      <w:r>
        <w:rPr>
          <w:rFonts w:ascii="Roboto" w:hAnsi="Roboto"/>
          <w:color w:val="000000"/>
          <w:sz w:val="26"/>
          <w:szCs w:val="26"/>
        </w:rPr>
        <w:t xml:space="preserve">Oportunidad y propuesta de inteca.                          </w:t>
      </w:r>
    </w:p>
    <w:p w14:paraId="6E3A0CB2" w14:textId="7D92A8D9" w:rsidR="000540FD" w:rsidRDefault="000540FD" w:rsidP="000540FD">
      <w:pPr>
        <w:pStyle w:val="Ttulo3"/>
      </w:pPr>
      <w:r>
        <w:rPr>
          <w:rFonts w:ascii="Roboto" w:hAnsi="Roboto"/>
          <w:color w:val="000000"/>
          <w:sz w:val="26"/>
          <w:szCs w:val="26"/>
        </w:rPr>
        <w:t xml:space="preserve">  </w:t>
      </w:r>
      <w:r>
        <w:rPr>
          <w:rFonts w:ascii="Segoe UI Emoji" w:hAnsi="Segoe UI Emoji" w:cs="Segoe UI Emoji"/>
        </w:rPr>
        <w:t>📘</w:t>
      </w:r>
      <w:r>
        <w:t xml:space="preserve"> Estructura del Plan Estratégico de INTECA 2025–2027</w:t>
      </w:r>
    </w:p>
    <w:p w14:paraId="4405F9BB" w14:textId="77777777" w:rsidR="000540FD" w:rsidRDefault="000540FD" w:rsidP="000540FD">
      <w:pPr>
        <w:pStyle w:val="Ttulo4"/>
      </w:pPr>
      <w:r>
        <w:t xml:space="preserve">1. </w:t>
      </w:r>
      <w:r>
        <w:rPr>
          <w:rStyle w:val="Textoennegrita"/>
          <w:b w:val="0"/>
          <w:bCs w:val="0"/>
        </w:rPr>
        <w:t>Resumen Ejecutivo</w:t>
      </w:r>
    </w:p>
    <w:p w14:paraId="344A5885" w14:textId="77777777" w:rsidR="000540FD" w:rsidRDefault="000540FD" w:rsidP="000540FD">
      <w:pPr>
        <w:pStyle w:val="NormalWeb"/>
      </w:pPr>
      <w:r>
        <w:t>Visión general del plan, propósito de INTECA en el contexto del Sistema Dominicano de Seguridad Social y los desafíos actuales (como el envejecimiento poblacional y la sostenibilidad financiera).</w:t>
      </w:r>
    </w:p>
    <w:p w14:paraId="2332BB23" w14:textId="77777777" w:rsidR="000540FD" w:rsidRDefault="000540FD" w:rsidP="000540FD">
      <w:pPr>
        <w:pStyle w:val="Ttulo4"/>
      </w:pPr>
      <w:r>
        <w:t xml:space="preserve">2. </w:t>
      </w:r>
      <w:r>
        <w:rPr>
          <w:rStyle w:val="Textoennegrita"/>
          <w:b w:val="0"/>
          <w:bCs w:val="0"/>
        </w:rPr>
        <w:t>Diagnóstico Estratégico</w:t>
      </w:r>
    </w:p>
    <w:p w14:paraId="6C41F8DE" w14:textId="77777777" w:rsidR="000540FD" w:rsidRDefault="000540FD" w:rsidP="000540FD">
      <w:pPr>
        <w:pStyle w:val="NormalWeb"/>
        <w:numPr>
          <w:ilvl w:val="0"/>
          <w:numId w:val="2"/>
        </w:numPr>
      </w:pPr>
      <w:r>
        <w:t>Análisis FODA de INTECA (fortalezas, oportunidades, debilidades y amenazas).</w:t>
      </w:r>
    </w:p>
    <w:p w14:paraId="39F53D9B" w14:textId="77777777" w:rsidR="000540FD" w:rsidRDefault="000540FD" w:rsidP="000540FD">
      <w:pPr>
        <w:pStyle w:val="NormalWeb"/>
        <w:numPr>
          <w:ilvl w:val="0"/>
          <w:numId w:val="2"/>
        </w:numPr>
      </w:pPr>
      <w:r>
        <w:t>Contexto actual del sector salud y la educación técnica en el país.</w:t>
      </w:r>
    </w:p>
    <w:p w14:paraId="10493EF3" w14:textId="77777777" w:rsidR="000540FD" w:rsidRDefault="000540FD" w:rsidP="000540FD">
      <w:pPr>
        <w:pStyle w:val="NormalWeb"/>
        <w:numPr>
          <w:ilvl w:val="0"/>
          <w:numId w:val="2"/>
        </w:numPr>
      </w:pPr>
      <w:r>
        <w:lastRenderedPageBreak/>
        <w:t>Problemática de las ARS con la población envejeciente y la oportunidad para INTECA.</w:t>
      </w:r>
    </w:p>
    <w:p w14:paraId="6500A95F" w14:textId="77777777" w:rsidR="000540FD" w:rsidRDefault="000540FD" w:rsidP="000540FD">
      <w:pPr>
        <w:pStyle w:val="Ttulo4"/>
      </w:pPr>
      <w:r>
        <w:t xml:space="preserve">3. </w:t>
      </w:r>
      <w:r>
        <w:rPr>
          <w:rStyle w:val="Textoennegrita"/>
          <w:b w:val="0"/>
          <w:bCs w:val="0"/>
        </w:rPr>
        <w:t>Propuesta de Valor Institucional</w:t>
      </w:r>
    </w:p>
    <w:p w14:paraId="656E8B15" w14:textId="77777777" w:rsidR="000540FD" w:rsidRDefault="000540FD" w:rsidP="000540FD">
      <w:pPr>
        <w:pStyle w:val="NormalWeb"/>
        <w:numPr>
          <w:ilvl w:val="0"/>
          <w:numId w:val="3"/>
        </w:numPr>
      </w:pPr>
      <w:r>
        <w:t xml:space="preserve">Rol de INTECA como </w:t>
      </w:r>
      <w:r>
        <w:rPr>
          <w:rStyle w:val="Textoennegrita"/>
          <w:rFonts w:eastAsiaTheme="majorEastAsia"/>
        </w:rPr>
        <w:t>centro técnico de formación continua</w:t>
      </w:r>
      <w:r>
        <w:t xml:space="preserve"> para personal del sistema de salud.</w:t>
      </w:r>
    </w:p>
    <w:p w14:paraId="5CDAA235" w14:textId="77777777" w:rsidR="000540FD" w:rsidRDefault="000540FD" w:rsidP="000540FD">
      <w:pPr>
        <w:pStyle w:val="NormalWeb"/>
        <w:numPr>
          <w:ilvl w:val="0"/>
          <w:numId w:val="3"/>
        </w:numPr>
      </w:pPr>
      <w:r>
        <w:t xml:space="preserve">Cómo INTECA puede </w:t>
      </w:r>
      <w:r>
        <w:rPr>
          <w:rStyle w:val="Textoennegrita"/>
          <w:rFonts w:eastAsiaTheme="majorEastAsia"/>
        </w:rPr>
        <w:t>capacitar a los equipos de las ARS</w:t>
      </w:r>
      <w:r>
        <w:t xml:space="preserve"> en gestión de riesgo, atención al adulto mayor y control de calidad.</w:t>
      </w:r>
    </w:p>
    <w:p w14:paraId="4A8DB594" w14:textId="77777777" w:rsidR="000540FD" w:rsidRDefault="000540FD" w:rsidP="000540FD">
      <w:pPr>
        <w:pStyle w:val="NormalWeb"/>
        <w:numPr>
          <w:ilvl w:val="0"/>
          <w:numId w:val="3"/>
        </w:numPr>
      </w:pPr>
      <w:r>
        <w:t xml:space="preserve">Posicionamiento como </w:t>
      </w:r>
      <w:r>
        <w:rPr>
          <w:rStyle w:val="Textoennegrita"/>
          <w:rFonts w:eastAsiaTheme="majorEastAsia"/>
        </w:rPr>
        <w:t>aliado técnico de SISALRIL, CNSS y FONASA</w:t>
      </w:r>
      <w:r>
        <w:t>.</w:t>
      </w:r>
    </w:p>
    <w:p w14:paraId="397BBEF1" w14:textId="77777777" w:rsidR="000540FD" w:rsidRDefault="000540FD" w:rsidP="000540FD">
      <w:pPr>
        <w:pStyle w:val="Ttulo4"/>
      </w:pPr>
      <w:r>
        <w:t xml:space="preserve">4. </w:t>
      </w:r>
      <w:r>
        <w:rPr>
          <w:rStyle w:val="Textoennegrita"/>
          <w:b w:val="0"/>
          <w:bCs w:val="0"/>
        </w:rPr>
        <w:t>Objetivos Estratégicos 2025–2027</w:t>
      </w:r>
    </w:p>
    <w:p w14:paraId="5B58E4AA" w14:textId="77777777" w:rsidR="000540FD" w:rsidRDefault="000540FD" w:rsidP="000540FD">
      <w:pPr>
        <w:pStyle w:val="NormalWeb"/>
        <w:numPr>
          <w:ilvl w:val="0"/>
          <w:numId w:val="4"/>
        </w:numPr>
      </w:pPr>
      <w:r>
        <w:t>Posicionar a INTECA como entidad acreditada por el CNSS y SISALRIL.</w:t>
      </w:r>
    </w:p>
    <w:p w14:paraId="7C4921AD" w14:textId="77777777" w:rsidR="000540FD" w:rsidRDefault="000540FD" w:rsidP="000540FD">
      <w:pPr>
        <w:pStyle w:val="NormalWeb"/>
        <w:numPr>
          <w:ilvl w:val="0"/>
          <w:numId w:val="4"/>
        </w:numPr>
      </w:pPr>
      <w:r>
        <w:t>Formar a 2,000 técnicos en salud y autorizaciones médicas.</w:t>
      </w:r>
    </w:p>
    <w:p w14:paraId="1C9DD479" w14:textId="77777777" w:rsidR="000540FD" w:rsidRDefault="000540FD" w:rsidP="000540FD">
      <w:pPr>
        <w:pStyle w:val="NormalWeb"/>
        <w:numPr>
          <w:ilvl w:val="0"/>
          <w:numId w:val="4"/>
        </w:numPr>
      </w:pPr>
      <w:r>
        <w:t xml:space="preserve">Desarrollar diplomados especializados en </w:t>
      </w:r>
      <w:r>
        <w:rPr>
          <w:rStyle w:val="Textoennegrita"/>
          <w:rFonts w:eastAsiaTheme="majorEastAsia"/>
        </w:rPr>
        <w:t>gestión de riesgo, envejecimiento y atención integral</w:t>
      </w:r>
      <w:r>
        <w:t>.</w:t>
      </w:r>
    </w:p>
    <w:p w14:paraId="6DECEBB6" w14:textId="77777777" w:rsidR="000540FD" w:rsidRDefault="000540FD" w:rsidP="000540FD">
      <w:pPr>
        <w:pStyle w:val="NormalWeb"/>
        <w:numPr>
          <w:ilvl w:val="0"/>
          <w:numId w:val="4"/>
        </w:numPr>
      </w:pPr>
      <w:r>
        <w:t xml:space="preserve">Firmar convenios con al menos </w:t>
      </w:r>
      <w:r>
        <w:rPr>
          <w:rStyle w:val="Textoennegrita"/>
          <w:rFonts w:eastAsiaTheme="majorEastAsia"/>
        </w:rPr>
        <w:t>4 ARS principales</w:t>
      </w:r>
      <w:r>
        <w:t xml:space="preserve"> y 2 instituciones públicas.</w:t>
      </w:r>
    </w:p>
    <w:p w14:paraId="351BA971" w14:textId="77777777" w:rsidR="000540FD" w:rsidRDefault="000540FD" w:rsidP="000540FD">
      <w:pPr>
        <w:pStyle w:val="Ttulo4"/>
      </w:pPr>
      <w:r>
        <w:t xml:space="preserve">5. </w:t>
      </w:r>
      <w:r>
        <w:rPr>
          <w:rStyle w:val="Textoennegrita"/>
          <w:b w:val="0"/>
          <w:bCs w:val="0"/>
        </w:rPr>
        <w:t>Plan de Acción Trimestral</w:t>
      </w:r>
    </w:p>
    <w:p w14:paraId="01402581" w14:textId="77777777" w:rsidR="000540FD" w:rsidRDefault="000540FD" w:rsidP="000540FD">
      <w:pPr>
        <w:pStyle w:val="NormalWeb"/>
      </w:pPr>
      <w:r>
        <w:t>Dividido por año (2025, 2026, 2027), con acciones concretas:</w:t>
      </w:r>
    </w:p>
    <w:p w14:paraId="14EB63FD" w14:textId="77777777" w:rsidR="000540FD" w:rsidRDefault="000540FD" w:rsidP="000540FD">
      <w:pPr>
        <w:pStyle w:val="NormalWeb"/>
        <w:numPr>
          <w:ilvl w:val="0"/>
          <w:numId w:val="5"/>
        </w:numPr>
      </w:pPr>
      <w:r>
        <w:rPr>
          <w:rStyle w:val="Textoennegrita"/>
          <w:rFonts w:eastAsiaTheme="majorEastAsia"/>
        </w:rPr>
        <w:t>Trimestre 1–2025:</w:t>
      </w:r>
      <w:r>
        <w:t xml:space="preserve"> Negociación con SISALRIL y ARS; actualización de los programas técnicos.</w:t>
      </w:r>
    </w:p>
    <w:p w14:paraId="25679523" w14:textId="77777777" w:rsidR="000540FD" w:rsidRDefault="000540FD" w:rsidP="000540FD">
      <w:pPr>
        <w:pStyle w:val="NormalWeb"/>
        <w:numPr>
          <w:ilvl w:val="0"/>
          <w:numId w:val="5"/>
        </w:numPr>
      </w:pPr>
      <w:r>
        <w:rPr>
          <w:rStyle w:val="Textoennegrita"/>
          <w:rFonts w:eastAsiaTheme="majorEastAsia"/>
        </w:rPr>
        <w:t>Trimestre 2–2025:</w:t>
      </w:r>
      <w:r>
        <w:t xml:space="preserve"> Lanzamiento de diplomados y programa de formación en línea.</w:t>
      </w:r>
    </w:p>
    <w:p w14:paraId="11D135D9" w14:textId="77777777" w:rsidR="000540FD" w:rsidRDefault="000540FD" w:rsidP="000540FD">
      <w:pPr>
        <w:pStyle w:val="NormalWeb"/>
        <w:numPr>
          <w:ilvl w:val="0"/>
          <w:numId w:val="5"/>
        </w:numPr>
      </w:pPr>
      <w:r>
        <w:rPr>
          <w:rStyle w:val="Textoennegrita"/>
          <w:rFonts w:eastAsiaTheme="majorEastAsia"/>
        </w:rPr>
        <w:t>Trimestre 3–2025:</w:t>
      </w:r>
      <w:r>
        <w:t xml:space="preserve"> Firma de convenios y ejecución piloto de formación.</w:t>
      </w:r>
    </w:p>
    <w:p w14:paraId="220B84A9" w14:textId="77777777" w:rsidR="000540FD" w:rsidRDefault="000540FD" w:rsidP="000540FD">
      <w:pPr>
        <w:pStyle w:val="NormalWeb"/>
        <w:numPr>
          <w:ilvl w:val="0"/>
          <w:numId w:val="5"/>
        </w:numPr>
      </w:pPr>
      <w:r>
        <w:rPr>
          <w:rStyle w:val="Textoennegrita"/>
          <w:rFonts w:eastAsiaTheme="majorEastAsia"/>
        </w:rPr>
        <w:t>Trimestre 4–2025:</w:t>
      </w:r>
      <w:r>
        <w:t xml:space="preserve"> Evaluación de impacto y presentación pública.</w:t>
      </w:r>
      <w:r>
        <w:br/>
      </w:r>
      <w:r>
        <w:rPr>
          <w:rStyle w:val="nfasis"/>
          <w:rFonts w:eastAsiaTheme="majorEastAsia"/>
        </w:rPr>
        <w:t>(Y así para los años siguientes.)</w:t>
      </w:r>
    </w:p>
    <w:p w14:paraId="2EED19C8" w14:textId="77777777" w:rsidR="000540FD" w:rsidRDefault="000540FD" w:rsidP="000540FD">
      <w:pPr>
        <w:pStyle w:val="Ttulo4"/>
      </w:pPr>
      <w:r>
        <w:t xml:space="preserve">6. </w:t>
      </w:r>
      <w:r>
        <w:rPr>
          <w:rStyle w:val="Textoennegrita"/>
          <w:b w:val="0"/>
          <w:bCs w:val="0"/>
        </w:rPr>
        <w:t>Estrategia de Alianzas</w:t>
      </w:r>
    </w:p>
    <w:p w14:paraId="5902C956" w14:textId="77777777" w:rsidR="000540FD" w:rsidRDefault="000540FD" w:rsidP="000540FD">
      <w:pPr>
        <w:pStyle w:val="NormalWeb"/>
      </w:pPr>
      <w:r>
        <w:t>Identificación de aliados estratégicos:</w:t>
      </w:r>
    </w:p>
    <w:p w14:paraId="5AF2C8DC" w14:textId="77777777" w:rsidR="000540FD" w:rsidRDefault="000540FD" w:rsidP="000540FD">
      <w:pPr>
        <w:pStyle w:val="NormalWeb"/>
        <w:numPr>
          <w:ilvl w:val="0"/>
          <w:numId w:val="6"/>
        </w:numPr>
      </w:pPr>
      <w:r>
        <w:rPr>
          <w:rStyle w:val="Textoennegrita"/>
          <w:rFonts w:eastAsiaTheme="majorEastAsia"/>
        </w:rPr>
        <w:t>SISALRIL:</w:t>
      </w:r>
      <w:r>
        <w:t xml:space="preserve"> validación y apoyo técnico.</w:t>
      </w:r>
    </w:p>
    <w:p w14:paraId="2F109590" w14:textId="77777777" w:rsidR="000540FD" w:rsidRDefault="000540FD" w:rsidP="000540FD">
      <w:pPr>
        <w:pStyle w:val="NormalWeb"/>
        <w:numPr>
          <w:ilvl w:val="0"/>
          <w:numId w:val="6"/>
        </w:numPr>
      </w:pPr>
      <w:r>
        <w:rPr>
          <w:rStyle w:val="Textoennegrita"/>
          <w:rFonts w:eastAsiaTheme="majorEastAsia"/>
        </w:rPr>
        <w:t>CNSS:</w:t>
      </w:r>
      <w:r>
        <w:t xml:space="preserve"> inclusión en planes de capacitación y FONCARIS.</w:t>
      </w:r>
    </w:p>
    <w:p w14:paraId="2A466F89" w14:textId="77777777" w:rsidR="000540FD" w:rsidRDefault="000540FD" w:rsidP="000540FD">
      <w:pPr>
        <w:pStyle w:val="NormalWeb"/>
        <w:numPr>
          <w:ilvl w:val="0"/>
          <w:numId w:val="6"/>
        </w:numPr>
      </w:pPr>
      <w:r>
        <w:rPr>
          <w:rStyle w:val="Textoennegrita"/>
          <w:rFonts w:eastAsiaTheme="majorEastAsia"/>
        </w:rPr>
        <w:t>ARS:</w:t>
      </w:r>
      <w:r>
        <w:t xml:space="preserve"> clientes principales de los programas de formación.</w:t>
      </w:r>
    </w:p>
    <w:p w14:paraId="6B31936A" w14:textId="77777777" w:rsidR="000540FD" w:rsidRDefault="000540FD" w:rsidP="000540FD">
      <w:pPr>
        <w:pStyle w:val="NormalWeb"/>
        <w:numPr>
          <w:ilvl w:val="0"/>
          <w:numId w:val="6"/>
        </w:numPr>
      </w:pPr>
      <w:r>
        <w:rPr>
          <w:rStyle w:val="Textoennegrita"/>
          <w:rFonts w:eastAsiaTheme="majorEastAsia"/>
        </w:rPr>
        <w:t>Instituciones académicas:</w:t>
      </w:r>
      <w:r>
        <w:t xml:space="preserve"> </w:t>
      </w:r>
      <w:proofErr w:type="spellStart"/>
      <w:r>
        <w:t>co-certificación</w:t>
      </w:r>
      <w:proofErr w:type="spellEnd"/>
      <w:r>
        <w:t xml:space="preserve"> (UFHEC, ITESA, INFOTEP).</w:t>
      </w:r>
    </w:p>
    <w:p w14:paraId="67F12FA2" w14:textId="77777777" w:rsidR="000540FD" w:rsidRDefault="000540FD" w:rsidP="000540FD">
      <w:pPr>
        <w:pStyle w:val="Ttulo4"/>
      </w:pPr>
      <w:r>
        <w:t xml:space="preserve">7. </w:t>
      </w:r>
      <w:r>
        <w:rPr>
          <w:rStyle w:val="Textoennegrita"/>
          <w:b w:val="0"/>
          <w:bCs w:val="0"/>
        </w:rPr>
        <w:t>Proyecciones Financieras</w:t>
      </w:r>
    </w:p>
    <w:p w14:paraId="2ABD49DF" w14:textId="77777777" w:rsidR="000540FD" w:rsidRDefault="000540FD" w:rsidP="000540FD">
      <w:pPr>
        <w:pStyle w:val="NormalWeb"/>
        <w:numPr>
          <w:ilvl w:val="0"/>
          <w:numId w:val="7"/>
        </w:numPr>
      </w:pPr>
      <w:r>
        <w:t>Estimación de ingresos por cursos, convenios y contratos.</w:t>
      </w:r>
    </w:p>
    <w:p w14:paraId="3AC7B8B1" w14:textId="77777777" w:rsidR="000540FD" w:rsidRDefault="000540FD" w:rsidP="000540FD">
      <w:pPr>
        <w:pStyle w:val="NormalWeb"/>
        <w:numPr>
          <w:ilvl w:val="0"/>
          <w:numId w:val="7"/>
        </w:numPr>
      </w:pPr>
      <w:r>
        <w:t>Posibles escenarios (optimista, conservador, mínimo viable).</w:t>
      </w:r>
    </w:p>
    <w:p w14:paraId="1B053F7C" w14:textId="77777777" w:rsidR="000540FD" w:rsidRDefault="000540FD" w:rsidP="000540FD">
      <w:pPr>
        <w:pStyle w:val="NormalWeb"/>
        <w:numPr>
          <w:ilvl w:val="0"/>
          <w:numId w:val="7"/>
        </w:numPr>
      </w:pPr>
      <w:r>
        <w:t>Inversión inicial requerida y retorno estimado a 3 años.</w:t>
      </w:r>
    </w:p>
    <w:p w14:paraId="33614214" w14:textId="77777777" w:rsidR="000540FD" w:rsidRDefault="000540FD" w:rsidP="000540FD">
      <w:pPr>
        <w:pStyle w:val="Ttulo4"/>
      </w:pPr>
      <w:r>
        <w:t xml:space="preserve">8. </w:t>
      </w:r>
      <w:r>
        <w:rPr>
          <w:rStyle w:val="Textoennegrita"/>
          <w:b w:val="0"/>
          <w:bCs w:val="0"/>
        </w:rPr>
        <w:t>Indicadores de Éxito</w:t>
      </w:r>
    </w:p>
    <w:p w14:paraId="3530BE6D" w14:textId="77777777" w:rsidR="000540FD" w:rsidRDefault="000540FD" w:rsidP="000540FD">
      <w:pPr>
        <w:pStyle w:val="NormalWeb"/>
      </w:pPr>
      <w:proofErr w:type="spellStart"/>
      <w:r>
        <w:t>KPIs</w:t>
      </w:r>
      <w:proofErr w:type="spellEnd"/>
      <w:r>
        <w:t xml:space="preserve"> de desempeño: número de convenios, técnicos certificados, ingresos generados, satisfacción institucional, reconocimiento del sector.</w:t>
      </w:r>
    </w:p>
    <w:p w14:paraId="2A06282D" w14:textId="77777777" w:rsidR="000540FD" w:rsidRDefault="000540FD" w:rsidP="000540FD">
      <w:pPr>
        <w:pStyle w:val="Ttulo4"/>
      </w:pPr>
      <w:r>
        <w:lastRenderedPageBreak/>
        <w:t xml:space="preserve">9. </w:t>
      </w:r>
      <w:r>
        <w:rPr>
          <w:rStyle w:val="Textoennegrita"/>
          <w:b w:val="0"/>
          <w:bCs w:val="0"/>
        </w:rPr>
        <w:t>Impacto Social</w:t>
      </w:r>
    </w:p>
    <w:p w14:paraId="49401240" w14:textId="77777777" w:rsidR="000540FD" w:rsidRDefault="000540FD" w:rsidP="000540FD">
      <w:pPr>
        <w:pStyle w:val="NormalWeb"/>
      </w:pPr>
      <w:r>
        <w:t>Cómo INTECA contribuye a:</w:t>
      </w:r>
    </w:p>
    <w:p w14:paraId="3A08FB2A" w14:textId="77777777" w:rsidR="000540FD" w:rsidRDefault="000540FD" w:rsidP="000540FD">
      <w:pPr>
        <w:pStyle w:val="NormalWeb"/>
        <w:numPr>
          <w:ilvl w:val="0"/>
          <w:numId w:val="8"/>
        </w:numPr>
      </w:pPr>
      <w:r>
        <w:t>La equidad y sostenibilidad del sistema de salud.</w:t>
      </w:r>
    </w:p>
    <w:p w14:paraId="059852E7" w14:textId="77777777" w:rsidR="000540FD" w:rsidRDefault="000540FD" w:rsidP="000540FD">
      <w:pPr>
        <w:pStyle w:val="NormalWeb"/>
        <w:numPr>
          <w:ilvl w:val="0"/>
          <w:numId w:val="8"/>
        </w:numPr>
      </w:pPr>
      <w:r>
        <w:t>La mejora de la atención a envejecientes.</w:t>
      </w:r>
    </w:p>
    <w:p w14:paraId="3FB116D3" w14:textId="77777777" w:rsidR="000540FD" w:rsidRDefault="000540FD" w:rsidP="000540FD">
      <w:pPr>
        <w:pStyle w:val="NormalWeb"/>
        <w:numPr>
          <w:ilvl w:val="0"/>
          <w:numId w:val="8"/>
        </w:numPr>
      </w:pPr>
      <w:r>
        <w:t>La creación de empleo técnico especializado.</w:t>
      </w:r>
    </w:p>
    <w:p w14:paraId="07C56B42" w14:textId="77777777" w:rsidR="000540FD" w:rsidRDefault="000540FD" w:rsidP="000540FD">
      <w:pPr>
        <w:pStyle w:val="Ttulo4"/>
      </w:pPr>
      <w:r>
        <w:t xml:space="preserve">10. </w:t>
      </w:r>
      <w:r>
        <w:rPr>
          <w:rStyle w:val="Textoennegrita"/>
          <w:b w:val="0"/>
          <w:bCs w:val="0"/>
        </w:rPr>
        <w:t>Conclusión y Llamado a la Acción</w:t>
      </w:r>
    </w:p>
    <w:p w14:paraId="3BB064D8" w14:textId="77777777" w:rsidR="000540FD" w:rsidRDefault="000540FD" w:rsidP="000540FD">
      <w:pPr>
        <w:pStyle w:val="NormalWeb"/>
      </w:pPr>
      <w:r>
        <w:t xml:space="preserve">Propuesta de presentación institucional ante CNSS, SISALRIL y ARS, para incluir a INTECA como </w:t>
      </w:r>
      <w:r>
        <w:rPr>
          <w:rStyle w:val="Textoennegrita"/>
          <w:rFonts w:eastAsiaTheme="majorEastAsia"/>
        </w:rPr>
        <w:t>entidad oficial de capacitación técnica del sistema de salud dominicano.</w:t>
      </w:r>
    </w:p>
    <w:p w14:paraId="57E6CE1B" w14:textId="79199033" w:rsidR="000540FD" w:rsidRPr="000540FD" w:rsidRDefault="000540FD" w:rsidP="000540F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76" w:lineRule="atLeast"/>
        <w:outlineLvl w:val="0"/>
        <w:rPr>
          <w:rFonts w:ascii="Arial" w:eastAsia="Times New Roman" w:hAnsi="Arial" w:cs="Arial"/>
          <w:b/>
          <w:bCs/>
          <w:color w:val="000000"/>
          <w:kern w:val="36"/>
          <w:sz w:val="77"/>
          <w:szCs w:val="77"/>
          <w:lang w:eastAsia="es-419"/>
        </w:rPr>
      </w:pPr>
    </w:p>
    <w:p w14:paraId="24D98A5A" w14:textId="77777777" w:rsidR="00163A70" w:rsidRDefault="00163A70"/>
    <w:sectPr w:rsidR="00163A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355E8"/>
    <w:multiLevelType w:val="multilevel"/>
    <w:tmpl w:val="DEF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40CDB"/>
    <w:multiLevelType w:val="multilevel"/>
    <w:tmpl w:val="B440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072D6"/>
    <w:multiLevelType w:val="multilevel"/>
    <w:tmpl w:val="92C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725BF"/>
    <w:multiLevelType w:val="multilevel"/>
    <w:tmpl w:val="B642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AE283A"/>
    <w:multiLevelType w:val="multilevel"/>
    <w:tmpl w:val="CC0C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158E5"/>
    <w:multiLevelType w:val="multilevel"/>
    <w:tmpl w:val="0C7E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52461"/>
    <w:multiLevelType w:val="multilevel"/>
    <w:tmpl w:val="C4C8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03842"/>
    <w:multiLevelType w:val="multilevel"/>
    <w:tmpl w:val="D09A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FD"/>
    <w:rsid w:val="000540FD"/>
    <w:rsid w:val="0016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BB963A"/>
  <w15:chartTrackingRefBased/>
  <w15:docId w15:val="{8C15C175-9932-45D7-9AE7-219340BE2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540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0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40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40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40FD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NormalWeb">
    <w:name w:val="Normal (Web)"/>
    <w:basedOn w:val="Normal"/>
    <w:uiPriority w:val="99"/>
    <w:unhideWhenUsed/>
    <w:rsid w:val="00054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0540F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0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semiHidden/>
    <w:unhideWhenUsed/>
    <w:rsid w:val="000540FD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40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40F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nfasis">
    <w:name w:val="Emphasis"/>
    <w:basedOn w:val="Fuentedeprrafopredeter"/>
    <w:uiPriority w:val="20"/>
    <w:qFormat/>
    <w:rsid w:val="000540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9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73327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702120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34776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1416</Words>
  <Characters>7788</Characters>
  <Application>Microsoft Office Word</Application>
  <DocSecurity>0</DocSecurity>
  <Lines>64</Lines>
  <Paragraphs>18</Paragraphs>
  <ScaleCrop>false</ScaleCrop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ramirez</dc:creator>
  <cp:keywords/>
  <dc:description/>
  <cp:lastModifiedBy>luis ramirez</cp:lastModifiedBy>
  <cp:revision>1</cp:revision>
  <dcterms:created xsi:type="dcterms:W3CDTF">2025-10-24T00:42:00Z</dcterms:created>
  <dcterms:modified xsi:type="dcterms:W3CDTF">2025-10-24T00:50:00Z</dcterms:modified>
</cp:coreProperties>
</file>