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320"/>
        <w:jc w:val="center"/>
      </w:pPr>
      <w:r>
        <w:rPr>
          <w:rFonts w:ascii="Calibri" w:hAnsi="Calibri"/>
          <w:b/>
          <w:color w:val="B56D3C"/>
          <w:sz w:val="20"/>
        </w:rPr>
        <w:t>OPERATOR GUIDE</w:t>
      </w:r>
    </w:p>
    <w:p>
      <w:pPr>
        <w:spacing w:after="200"/>
        <w:jc w:val="center"/>
      </w:pPr>
      <w:r>
        <w:rPr>
          <w:rFonts w:ascii="Calibri" w:hAnsi="Calibri"/>
          <w:b/>
          <w:color w:val="17324D"/>
          <w:sz w:val="64"/>
        </w:rPr>
        <w:t>PayTimePro</w:t>
      </w:r>
    </w:p>
    <w:p>
      <w:pPr>
        <w:spacing w:after="440"/>
        <w:jc w:val="center"/>
      </w:pPr>
      <w:r>
        <w:rPr>
          <w:rFonts w:ascii="Calibri" w:hAnsi="Calibri"/>
          <w:b/>
          <w:color w:val="2E74B5"/>
          <w:sz w:val="40"/>
        </w:rPr>
        <w:t>Payroll Module Guide</w:t>
      </w:r>
    </w:p>
    <w:p>
      <w:pPr>
        <w:spacing w:after="1440"/>
        <w:jc w:val="center"/>
      </w:pPr>
      <w:r>
        <w:rPr>
          <w:rFonts w:ascii="Calibri" w:hAnsi="Calibri"/>
          <w:color w:val="667788"/>
          <w:sz w:val="23"/>
        </w:rPr>
        <w:t>Salary setup • Philippine withholding • Statutory contributions • Payroll runs • Reports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F3"/>
          </w:tcPr>
          <w:p>
            <w:pPr>
              <w:spacing w:after="60"/>
            </w:pPr>
            <w:r/>
            <w:r>
              <w:rPr>
                <w:rFonts w:ascii="Calibri" w:hAnsi="Calibri"/>
                <w:b/>
                <w:color w:val="2C7A7B"/>
                <w:sz w:val="20"/>
              </w:rPr>
              <w:t>Purpose</w:t>
            </w:r>
          </w:p>
          <w:p>
            <w:pPr>
              <w:spacing w:after="0" w:line="276" w:lineRule="auto"/>
            </w:pPr>
            <w:r>
              <w:rPr>
                <w:rFonts w:ascii="Calibri" w:hAnsi="Calibri"/>
                <w:color w:val="1B2733"/>
                <w:sz w:val="19"/>
              </w:rPr>
              <w:t>A practical guide for payroll administrators who configure employee pay, validate attendance, calculate payouts, finalize payroll runs, and prepare statutory summaries.</w:t>
            </w:r>
          </w:p>
        </w:tc>
      </w:tr>
    </w:tbl>
    <w:p>
      <w:pPr>
        <w:spacing w:after="0"/>
      </w:pPr>
    </w:p>
    <w:p>
      <w:pPr>
        <w:spacing w:before="560"/>
        <w:jc w:val="center"/>
      </w:pPr>
      <w:r>
        <w:rPr>
          <w:rFonts w:ascii="Calibri" w:hAnsi="Calibri"/>
          <w:color w:val="667788"/>
          <w:sz w:val="18"/>
        </w:rPr>
        <w:t>Prepared 31 August 2026  |  Philippines</w:t>
      </w:r>
    </w:p>
    <w:p>
      <w:r>
        <w:br w:type="page"/>
      </w:r>
    </w:p>
    <w:p>
      <w:pPr>
        <w:pStyle w:val="Heading1"/>
      </w:pPr>
      <w:r>
        <w:t>1. Start here</w:t>
      </w:r>
    </w:p>
    <w:p>
      <w:r>
        <w:t>The payroll workspace turns employee salary settings, approved time records, recurring items, statutory rules, and tax tables into a reviewable payout. A payroll run preserves the approved result for later reconciliation and reporting.</w:t>
      </w:r>
    </w:p>
    <w:p>
      <w:pPr>
        <w:pStyle w:val="Heading2"/>
      </w:pPr>
      <w:r>
        <w:t>Module map</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0" w:line="264" w:lineRule="auto"/>
            </w:pPr>
            <w:r/>
            <w:r>
              <w:rPr>
                <w:rFonts w:ascii="Calibri" w:hAnsi="Calibri"/>
                <w:b/>
                <w:color w:val="17324D"/>
                <w:sz w:val="18"/>
              </w:rPr>
              <w:t>Area</w:t>
            </w:r>
          </w:p>
        </w:tc>
        <w:tc>
          <w:tcPr>
            <w:tcW w:type="dxa" w:w="6660"/>
            <w:tcMar>
              <w:top w:w="80" w:type="dxa"/>
              <w:start w:w="120" w:type="dxa"/>
              <w:bottom w:w="80" w:type="dxa"/>
              <w:end w:w="120" w:type="dxa"/>
            </w:tcMar>
            <w:vAlign w:val="center"/>
            <w:shd w:fill="E8EEF5"/>
          </w:tcPr>
          <w:p>
            <w:pPr>
              <w:spacing w:before="0" w:after="0" w:line="264" w:lineRule="auto"/>
            </w:pPr>
            <w:r/>
            <w:r>
              <w:rPr>
                <w:rFonts w:ascii="Calibri" w:hAnsi="Calibri"/>
                <w:b/>
                <w:color w:val="17324D"/>
                <w:sz w:val="18"/>
              </w:rPr>
              <w:t>Use it for</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Salary Setup</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Configure pay basis, rate, frequency, contribution handling, tax status, and recurring components.</w:t>
            </w:r>
          </w:p>
        </w:tc>
      </w:tr>
      <w:tr>
        <w:trPr>
          <w:cantSplit/>
        </w:trPr>
        <w:tc>
          <w:tcPr>
            <w:tcW w:type="dxa" w:w="27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Tax Configuration</w:t>
            </w:r>
          </w:p>
        </w:tc>
        <w:tc>
          <w:tcPr>
            <w:tcW w:type="dxa" w:w="66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Maintain effective-dated withholding tables by payroll frequency.</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Tax Calculator</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Preview withholding and annualized tax without creating a payroll run.</w:t>
            </w:r>
          </w:p>
        </w:tc>
      </w:tr>
      <w:tr>
        <w:trPr>
          <w:cantSplit/>
        </w:trPr>
        <w:tc>
          <w:tcPr>
            <w:tcW w:type="dxa" w:w="27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Payout View</w:t>
            </w:r>
          </w:p>
        </w:tc>
        <w:tc>
          <w:tcPr>
            <w:tcW w:type="dxa" w:w="66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Calculate an employee's period payout from payroll setup and attendance.</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Payroll Runs</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Create a draft from signed previews, then finalize or void it.</w:t>
            </w:r>
          </w:p>
        </w:tc>
      </w:tr>
      <w:tr>
        <w:trPr>
          <w:cantSplit/>
        </w:trPr>
        <w:tc>
          <w:tcPr>
            <w:tcW w:type="dxa" w:w="27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Reports</w:t>
            </w:r>
          </w:p>
        </w:tc>
        <w:tc>
          <w:tcPr>
            <w:tcW w:type="dxa" w:w="66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Summarize finalized payroll for contributions, BIR 1601-C, and employee 2316 data.</w:t>
            </w:r>
          </w:p>
        </w:tc>
      </w:tr>
    </w:tbl>
    <w:p>
      <w:pPr>
        <w:spacing w:after="0"/>
      </w:pPr>
    </w:p>
    <w:p>
      <w:pPr>
        <w:pStyle w:val="Heading2"/>
      </w:pPr>
      <w:r>
        <w:t>Before the first payroll</w:t>
      </w:r>
    </w:p>
    <w:p>
      <w:pPr>
        <w:pStyle w:val="ListBullet"/>
        <w:spacing w:after="80" w:line="300" w:lineRule="auto"/>
        <w:ind w:left="540" w:hanging="271"/>
      </w:pPr>
      <w:r>
        <w:t>Create and activate the employee record.</w:t>
      </w:r>
    </w:p>
    <w:p>
      <w:pPr>
        <w:pStyle w:val="ListBullet"/>
        <w:spacing w:after="80" w:line="300" w:lineRule="auto"/>
        <w:ind w:left="540" w:hanging="271"/>
      </w:pPr>
      <w:r>
        <w:t>Complete Salary Setup for every employee included in the run.</w:t>
      </w:r>
    </w:p>
    <w:p>
      <w:pPr>
        <w:pStyle w:val="ListBullet"/>
        <w:spacing w:after="80" w:line="300" w:lineRule="auto"/>
        <w:ind w:left="540" w:hanging="271"/>
      </w:pPr>
      <w:r>
        <w:t>Confirm the correct pay frequency and period shape.</w:t>
      </w:r>
    </w:p>
    <w:p>
      <w:pPr>
        <w:pStyle w:val="ListBullet"/>
        <w:spacing w:after="80" w:line="300" w:lineRule="auto"/>
        <w:ind w:left="540" w:hanging="271"/>
      </w:pPr>
      <w:r>
        <w:t>Confirm the applicable tax table is active for the pay date.</w:t>
      </w:r>
    </w:p>
    <w:p>
      <w:pPr>
        <w:pStyle w:val="ListBullet"/>
        <w:spacing w:after="80" w:line="300" w:lineRule="auto"/>
        <w:ind w:left="540" w:hanging="271"/>
      </w:pPr>
      <w:r>
        <w:t>Load and review attendance, leave, holidays, and approved overtime.</w:t>
      </w:r>
    </w:p>
    <w:p>
      <w:pPr>
        <w:pStyle w:val="ListBullet"/>
        <w:spacing w:after="80" w:line="300" w:lineRule="auto"/>
        <w:ind w:left="540" w:hanging="271"/>
      </w:pPr>
      <w:r>
        <w:t>Check statutory IDs and current agency rules outside the system before filing.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E"/>
          </w:tcPr>
          <w:p>
            <w:pPr>
              <w:spacing w:after="60"/>
            </w:pPr>
            <w:r/>
            <w:r>
              <w:rPr>
                <w:rFonts w:ascii="Calibri" w:hAnsi="Calibri"/>
                <w:b/>
                <w:color w:val="B56D3C"/>
                <w:sz w:val="20"/>
              </w:rPr>
              <w:t>Important</w:t>
            </w:r>
          </w:p>
          <w:p>
            <w:pPr>
              <w:spacing w:after="0" w:line="276" w:lineRule="auto"/>
            </w:pPr>
            <w:r>
              <w:rPr>
                <w:rFonts w:ascii="Calibri" w:hAnsi="Calibri"/>
                <w:color w:val="1B2733"/>
                <w:sz w:val="19"/>
              </w:rPr>
              <w:t>PayTimePro blocks a payroll run when an included employee has no payroll setup, the period does not match the employee's frequency, or the payout preview contains unresolved attendance.</w:t>
            </w:r>
          </w:p>
        </w:tc>
      </w:tr>
    </w:tbl>
    <w:p>
      <w:pPr>
        <w:spacing w:after="0"/>
      </w:pPr>
    </w:p>
    <w:p>
      <w:pPr>
        <w:pStyle w:val="Heading2"/>
      </w:pPr>
      <w:r>
        <w:t>Permissions</w:t>
      </w:r>
    </w:p>
    <w:p>
      <w:r>
        <w:t>Payroll visibility and actions are permission-controlled. If a menu or action is missing, review the user's role permissions for Payroll, Salary Setup, Tax Configuration, Payout View, and Reports.</w:t>
      </w:r>
    </w:p>
    <w:p>
      <w:r>
        <w:br w:type="page"/>
      </w:r>
    </w:p>
    <w:p>
      <w:pPr>
        <w:pStyle w:val="Heading1"/>
      </w:pPr>
      <w:r>
        <w:t>2. Salary Setup</w:t>
      </w:r>
    </w:p>
    <w:p>
      <w:r>
        <w:t>Open Payroll → Salary Setup, select an employee, complete the profile, add recurring items, and save before attempting a payout calculation.</w:t>
      </w:r>
    </w:p>
    <w:p>
      <w:pPr>
        <w:pStyle w:val="Heading2"/>
      </w:pPr>
      <w:r>
        <w:t>Core settings</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0" w:line="264" w:lineRule="auto"/>
            </w:pPr>
            <w:r/>
            <w:r>
              <w:rPr>
                <w:rFonts w:ascii="Calibri" w:hAnsi="Calibri"/>
                <w:b/>
                <w:color w:val="17324D"/>
                <w:sz w:val="18"/>
              </w:rPr>
              <w:t>Setting</w:t>
            </w:r>
          </w:p>
        </w:tc>
        <w:tc>
          <w:tcPr>
            <w:tcW w:type="dxa" w:w="6660"/>
            <w:tcMar>
              <w:top w:w="80" w:type="dxa"/>
              <w:start w:w="120" w:type="dxa"/>
              <w:bottom w:w="80" w:type="dxa"/>
              <w:end w:w="120" w:type="dxa"/>
            </w:tcMar>
            <w:vAlign w:val="center"/>
            <w:shd w:fill="E8EEF5"/>
          </w:tcPr>
          <w:p>
            <w:pPr>
              <w:spacing w:before="0" w:after="0" w:line="264" w:lineRule="auto"/>
            </w:pPr>
            <w:r/>
            <w:r>
              <w:rPr>
                <w:rFonts w:ascii="Calibri" w:hAnsi="Calibri"/>
                <w:b/>
                <w:color w:val="17324D"/>
                <w:sz w:val="18"/>
              </w:rPr>
              <w:t>What to enter</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Pay basis</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Monthly, daily, or hourly, matching the employment agreement.</w:t>
            </w:r>
          </w:p>
        </w:tc>
      </w:tr>
      <w:tr>
        <w:trPr>
          <w:cantSplit/>
        </w:trPr>
        <w:tc>
          <w:tcPr>
            <w:tcW w:type="dxa" w:w="27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Base rate</w:t>
            </w:r>
          </w:p>
        </w:tc>
        <w:tc>
          <w:tcPr>
            <w:tcW w:type="dxa" w:w="66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The agreed monthly salary, daily wage, or hourly rate.</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Contribution base</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Applicable monthly compensation used for statutory contribution calculation.</w:t>
            </w:r>
          </w:p>
        </w:tc>
      </w:tr>
      <w:tr>
        <w:trPr>
          <w:cantSplit/>
        </w:trPr>
        <w:tc>
          <w:tcPr>
            <w:tcW w:type="dxa" w:w="27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Pay frequency</w:t>
            </w:r>
          </w:p>
        </w:tc>
        <w:tc>
          <w:tcPr>
            <w:tcW w:type="dxa" w:w="66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Weekly, biweekly, semi-monthly, or monthly.</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Standard hours</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Normal working hours per day used in attendance-based calculations.</w:t>
            </w:r>
          </w:p>
        </w:tc>
      </w:tr>
      <w:tr>
        <w:trPr>
          <w:cantSplit/>
        </w:trPr>
        <w:tc>
          <w:tcPr>
            <w:tcW w:type="dxa" w:w="27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Tax status</w:t>
            </w:r>
          </w:p>
        </w:tc>
        <w:tc>
          <w:tcPr>
            <w:tcW w:type="dxa" w:w="66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Taxable or exempt, based on validated employee classification.</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Effective date</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Date from which the setup applies.</w:t>
            </w:r>
          </w:p>
        </w:tc>
      </w:tr>
    </w:tbl>
    <w:p>
      <w:pPr>
        <w:spacing w:after="0"/>
      </w:pPr>
    </w:p>
    <w:p>
      <w:pPr>
        <w:pStyle w:val="Heading2"/>
      </w:pPr>
      <w:r>
        <w:t>Minimum wage earners</w:t>
      </w:r>
    </w:p>
    <w:p>
      <w:r>
        <w:t>When the employee qualifies as a minimum wage earner (MWE), enable the MWE setting and enter the applicable wage region and current minimum daily wage. MWE treatment must match the employee's actual legal classification and the current regional wage order.</w:t>
      </w:r>
    </w:p>
    <w:p>
      <w:pPr>
        <w:pStyle w:val="Heading2"/>
      </w:pPr>
      <w:r>
        <w:t>Statutory contribution controls</w:t>
      </w:r>
    </w:p>
    <w:p>
      <w:pPr>
        <w:pStyle w:val="ListBullet"/>
        <w:spacing w:after="80" w:line="300" w:lineRule="auto"/>
        <w:ind w:left="540" w:hanging="271"/>
      </w:pPr>
      <w:r>
        <w:t>Automatic mode calculates employee and employer shares for SSS, PhilHealth, and Pag-IBIG, including the employer-funded SSS EC amount.</w:t>
      </w:r>
    </w:p>
    <w:p>
      <w:pPr>
        <w:pStyle w:val="ListBullet"/>
        <w:spacing w:after="80" w:line="300" w:lineRule="auto"/>
        <w:ind w:left="540" w:hanging="271"/>
      </w:pPr>
      <w:r>
        <w:t>Semi-monthly deductions can be split evenly or charged entirely to the first or second cutoff.</w:t>
      </w:r>
    </w:p>
    <w:p>
      <w:pPr>
        <w:pStyle w:val="ListBullet"/>
        <w:spacing w:after="80" w:line="300" w:lineRule="auto"/>
        <w:ind w:left="540" w:hanging="271"/>
      </w:pPr>
      <w:r>
        <w:t>Finalized payroll runs are used to reconcile the remaining statutory balance for the month.</w:t>
      </w:r>
    </w:p>
    <w:p>
      <w:pPr>
        <w:pStyle w:val="ListBullet"/>
        <w:spacing w:after="80" w:line="300" w:lineRule="auto"/>
        <w:ind w:left="540" w:hanging="271"/>
      </w:pPr>
      <w:r>
        <w:t>Manual contribution fields should be used only when the employee requires a supported exception and the amounts have been validated.</w:t>
      </w:r>
    </w:p>
    <w:p>
      <w:r>
        <w:br w:type="page"/>
      </w:r>
    </w:p>
    <w:p>
      <w:pPr>
        <w:pStyle w:val="Heading2"/>
      </w:pPr>
      <w:r>
        <w:t>Recurring earnings and deductions</w:t>
      </w:r>
    </w:p>
    <w:p>
      <w:r>
        <w:t>Add components that recur automatically, such as transport allowance, rice allowance, loans, union dues, insurance, or recurring bonuses. Set the amount, earning/deduction type, taxable treatment, and active state carefully.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F3"/>
          </w:tcPr>
          <w:p>
            <w:pPr>
              <w:spacing w:after="60"/>
            </w:pPr>
            <w:r/>
            <w:r>
              <w:rPr>
                <w:rFonts w:ascii="Calibri" w:hAnsi="Calibri"/>
                <w:b/>
                <w:color w:val="2C7A7B"/>
                <w:sz w:val="20"/>
              </w:rPr>
              <w:t>Benefit categories</w:t>
            </w:r>
          </w:p>
          <w:p>
            <w:pPr>
              <w:spacing w:after="0" w:line="276" w:lineRule="auto"/>
            </w:pPr>
            <w:r>
              <w:rPr>
                <w:rFonts w:ascii="Calibri" w:hAnsi="Calibri"/>
                <w:color w:val="1B2733"/>
                <w:sz w:val="19"/>
              </w:rPr>
              <w:t>Use the correct statutory benefit category—such as rice, uniform, medical assistance, laundry, achievement, 13th-month/other benefits, or CBA/productivity—so annual tax-free ceilings can be applied and reconciled against finalized payroll.</w:t>
            </w:r>
          </w:p>
        </w:tc>
      </w:tr>
    </w:tbl>
    <w:p>
      <w:pPr>
        <w:spacing w:after="0"/>
      </w:pPr>
    </w:p>
    <w:p>
      <w:pPr>
        <w:pStyle w:val="Heading1"/>
      </w:pPr>
      <w:r>
        <w:t>3. Tax and statutory calculations</w:t>
      </w:r>
    </w:p>
    <w:p>
      <w:pPr>
        <w:pStyle w:val="Heading2"/>
      </w:pPr>
      <w:r>
        <w:t>Tax Configuration</w:t>
      </w:r>
    </w:p>
    <w:p>
      <w:r>
        <w:t>Tax tables are effective-dated and frequency-specific. Configure the lower and upper bounds, base tax, and percentage on the excess for each bracket. PayTimePro supports daily, weekly, semi-monthly, and monthly tables; biweekly calculations are derived from the weekly table.</w:t>
      </w:r>
    </w:p>
    <w:p>
      <w:pPr>
        <w:pStyle w:val="ListBullet"/>
        <w:spacing w:after="80" w:line="300" w:lineRule="auto"/>
        <w:ind w:left="540" w:hanging="271"/>
      </w:pPr>
      <w:r>
        <w:t>Keep exactly one applicable active configuration for each frequency and pay date.</w:t>
      </w:r>
    </w:p>
    <w:p>
      <w:pPr>
        <w:pStyle w:val="ListBullet"/>
        <w:spacing w:after="80" w:line="300" w:lineRule="auto"/>
        <w:ind w:left="540" w:hanging="271"/>
      </w:pPr>
      <w:r>
        <w:t>Do not overlap effective date ranges.</w:t>
      </w:r>
    </w:p>
    <w:p>
      <w:pPr>
        <w:pStyle w:val="ListBullet"/>
        <w:spacing w:after="80" w:line="300" w:lineRule="auto"/>
        <w:ind w:left="540" w:hanging="271"/>
      </w:pPr>
      <w:r>
        <w:t>Update tables only after confirming a new BIR issuance and its effective date.</w:t>
      </w:r>
    </w:p>
    <w:p>
      <w:pPr>
        <w:pStyle w:val="ListBullet"/>
        <w:spacing w:after="80" w:line="300" w:lineRule="auto"/>
        <w:ind w:left="540" w:hanging="271"/>
      </w:pPr>
      <w:r>
        <w:t>Test boundary amounts before using a newly entered table in production payroll.</w:t>
      </w:r>
    </w:p>
    <w:p>
      <w:pPr>
        <w:pStyle w:val="Heading2"/>
      </w:pPr>
      <w:r>
        <w:t>Tax Calculator</w:t>
      </w:r>
    </w:p>
    <w:p>
      <w:r>
        <w:t>Use the calculator as a compliance preview. It does not save a payroll run. Enter the pay date, current regular compensation, additional taxable compensation, non-taxable compensation, year-to-date taxable compensation, and year-to-date tax withheld.</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0" w:line="264" w:lineRule="auto"/>
            </w:pPr>
            <w:r/>
            <w:r>
              <w:rPr>
                <w:rFonts w:ascii="Calibri" w:hAnsi="Calibri"/>
                <w:b/>
                <w:color w:val="17324D"/>
                <w:sz w:val="18"/>
              </w:rPr>
              <w:t>Result</w:t>
            </w:r>
          </w:p>
        </w:tc>
        <w:tc>
          <w:tcPr>
            <w:tcW w:type="dxa" w:w="6660"/>
            <w:tcMar>
              <w:top w:w="80" w:type="dxa"/>
              <w:start w:w="120" w:type="dxa"/>
              <w:bottom w:w="80" w:type="dxa"/>
              <w:end w:w="120" w:type="dxa"/>
            </w:tcMar>
            <w:vAlign w:val="center"/>
            <w:shd w:fill="E8EEF5"/>
          </w:tcPr>
          <w:p>
            <w:pPr>
              <w:spacing w:before="0" w:after="0" w:line="264" w:lineRule="auto"/>
            </w:pPr>
            <w:r/>
            <w:r>
              <w:rPr>
                <w:rFonts w:ascii="Calibri" w:hAnsi="Calibri"/>
                <w:b/>
                <w:color w:val="17324D"/>
                <w:sz w:val="18"/>
              </w:rPr>
              <w:t>Meaning</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Gross compensation</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Regular plus supplementary compensation for the preview.</w:t>
            </w:r>
          </w:p>
        </w:tc>
      </w:tr>
      <w:tr>
        <w:trPr>
          <w:cantSplit/>
        </w:trPr>
        <w:tc>
          <w:tcPr>
            <w:tcW w:type="dxa" w:w="27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Mandatory contributions</w:t>
            </w:r>
          </w:p>
        </w:tc>
        <w:tc>
          <w:tcPr>
            <w:tcW w:type="dxa" w:w="66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Employee statutory deductions included in the calculation.</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Taxable compensation</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Compensation remaining after supported non-taxable items and mandatory contributions.</w:t>
            </w:r>
          </w:p>
        </w:tc>
      </w:tr>
      <w:tr>
        <w:trPr>
          <w:cantSplit/>
        </w:trPr>
        <w:tc>
          <w:tcPr>
            <w:tcW w:type="dxa" w:w="27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Current withholding</w:t>
            </w:r>
          </w:p>
        </w:tc>
        <w:tc>
          <w:tcPr>
            <w:tcW w:type="dxa" w:w="66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Tax calculated for the current payroll period.</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Annualized tax</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Estimated annual tax based on year-to-date and current taxable compensation.</w:t>
            </w:r>
          </w:p>
        </w:tc>
      </w:tr>
      <w:tr>
        <w:trPr>
          <w:cantSplit/>
        </w:trPr>
        <w:tc>
          <w:tcPr>
            <w:tcW w:type="dxa" w:w="27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Year-end balance</w:t>
            </w:r>
          </w:p>
        </w:tc>
        <w:tc>
          <w:tcPr>
            <w:tcW w:type="dxa" w:w="66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Estimated additional withholding or refund needed at year-end.</w:t>
            </w:r>
          </w:p>
        </w:tc>
      </w:tr>
    </w:tbl>
    <w:p>
      <w:pPr>
        <w:spacing w:after="0"/>
      </w:pPr>
    </w:p>
    <w:p>
      <w:pPr>
        <w:pStyle w:val="Heading2"/>
      </w:pPr>
      <w:r>
        <w:t>Current rule scope in this project</w:t>
      </w:r>
    </w:p>
    <w:p>
      <w:r>
        <w:t>Automatic statutory contribution calculations are implemented for supported effective dates from January 2025 onward. The calculator uses the employee's payroll profile, configured tax brackets, and pay date. Always verify rates, ceilings, wage orders, and BIR guidance for the actual payroll period.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E"/>
          </w:tcPr>
          <w:p>
            <w:pPr>
              <w:spacing w:after="60"/>
            </w:pPr>
            <w:r/>
            <w:r>
              <w:rPr>
                <w:rFonts w:ascii="Calibri" w:hAnsi="Calibri"/>
                <w:b/>
                <w:color w:val="B56D3C"/>
                <w:sz w:val="20"/>
              </w:rPr>
              <w:t>Compliance boundary</w:t>
            </w:r>
          </w:p>
          <w:p>
            <w:pPr>
              <w:spacing w:after="0" w:line="276" w:lineRule="auto"/>
            </w:pPr>
            <w:r>
              <w:rPr>
                <w:rFonts w:ascii="Calibri" w:hAnsi="Calibri"/>
                <w:color w:val="1B2733"/>
                <w:sz w:val="19"/>
              </w:rPr>
              <w:t>The module assists calculation and reconciliation; it does not replace legal review, agency validation, electronic filing, or remittance. Final responsibility remains with the employer and authorized payroll personnel.</w:t>
            </w:r>
          </w:p>
        </w:tc>
      </w:tr>
    </w:tbl>
    <w:p>
      <w:pPr>
        <w:spacing w:after="0"/>
      </w:pPr>
    </w:p>
    <w:p>
      <w:pPr>
        <w:pStyle w:val="Heading1"/>
      </w:pPr>
      <w:r>
        <w:t>4. Payout View</w:t>
      </w:r>
    </w:p>
    <w:p>
      <w:r>
        <w:t>Payout View is the operational calculation screen. Select an employee, enter the payroll period and pay date, then calculate. The period must match the employee's configured frequency.</w:t>
      </w:r>
    </w:p>
    <w:p>
      <w:pPr>
        <w:pStyle w:val="Heading2"/>
      </w:pPr>
      <w:r>
        <w:t>What the preview includes</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0" w:line="264" w:lineRule="auto"/>
            </w:pPr>
            <w:r/>
            <w:r>
              <w:rPr>
                <w:rFonts w:ascii="Calibri" w:hAnsi="Calibri"/>
                <w:b/>
                <w:color w:val="17324D"/>
                <w:sz w:val="18"/>
              </w:rPr>
              <w:t>Category</w:t>
            </w:r>
          </w:p>
        </w:tc>
        <w:tc>
          <w:tcPr>
            <w:tcW w:type="dxa" w:w="6660"/>
            <w:tcMar>
              <w:top w:w="80" w:type="dxa"/>
              <w:start w:w="120" w:type="dxa"/>
              <w:bottom w:w="80" w:type="dxa"/>
              <w:end w:w="120" w:type="dxa"/>
            </w:tcMar>
            <w:vAlign w:val="center"/>
            <w:shd w:fill="E8EEF5"/>
          </w:tcPr>
          <w:p>
            <w:pPr>
              <w:spacing w:before="0" w:after="0" w:line="264" w:lineRule="auto"/>
            </w:pPr>
            <w:r/>
            <w:r>
              <w:rPr>
                <w:rFonts w:ascii="Calibri" w:hAnsi="Calibri"/>
                <w:b/>
                <w:color w:val="17324D"/>
                <w:sz w:val="18"/>
              </w:rPr>
              <w:t>Typical contents</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Base pay</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Monthly, daily, or hourly compensation for the selected period.</w:t>
            </w:r>
          </w:p>
        </w:tc>
      </w:tr>
      <w:tr>
        <w:trPr>
          <w:cantSplit/>
        </w:trPr>
        <w:tc>
          <w:tcPr>
            <w:tcW w:type="dxa" w:w="27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Attendance</w:t>
            </w:r>
          </w:p>
        </w:tc>
        <w:tc>
          <w:tcPr>
            <w:tcW w:type="dxa" w:w="66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Worked time, absences, late time, break excess, undertime, and scheduled/rest-day treatment.</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Premiums</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Approved overtime, holiday pay adjustments, and other supported statutory premiums.</w:t>
            </w:r>
          </w:p>
        </w:tc>
      </w:tr>
      <w:tr>
        <w:trPr>
          <w:cantSplit/>
        </w:trPr>
        <w:tc>
          <w:tcPr>
            <w:tcW w:type="dxa" w:w="27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Components</w:t>
            </w:r>
          </w:p>
        </w:tc>
        <w:tc>
          <w:tcPr>
            <w:tcW w:type="dxa" w:w="66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Active recurring earnings, deductions, and classified benefits.</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Employee deductions</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SSS, PhilHealth, Pag-IBIG, withholding tax, union dues, loans, and other deductions.</w:t>
            </w:r>
          </w:p>
        </w:tc>
      </w:tr>
      <w:tr>
        <w:trPr>
          <w:cantSplit/>
        </w:trPr>
        <w:tc>
          <w:tcPr>
            <w:tcW w:type="dxa" w:w="27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Employer cost</w:t>
            </w:r>
          </w:p>
        </w:tc>
        <w:tc>
          <w:tcPr>
            <w:tcW w:type="dxa" w:w="66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Employer SSS, EC, PhilHealth, and Pag-IBIG shares.</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Net pay</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Gross compensation less employee deductions, including any supported year-end adjustment.</w:t>
            </w:r>
          </w:p>
        </w:tc>
      </w:tr>
    </w:tbl>
    <w:p>
      <w:pPr>
        <w:spacing w:after="0"/>
      </w:pPr>
    </w:p>
    <w:p>
      <w:r>
        <w:br w:type="page"/>
      </w:r>
    </w:p>
    <w:p>
      <w:pPr>
        <w:pStyle w:val="Heading2"/>
      </w:pPr>
      <w:r>
        <w:t>Attendance checks</w:t>
      </w:r>
    </w:p>
    <w:p>
      <w:pPr>
        <w:pStyle w:val="ListBullet"/>
        <w:spacing w:after="80" w:line="300" w:lineRule="auto"/>
        <w:ind w:left="540" w:hanging="271"/>
      </w:pPr>
      <w:r>
        <w:t>Time punches are paired and fall inside the payroll period.</w:t>
      </w:r>
    </w:p>
    <w:p>
      <w:pPr>
        <w:pStyle w:val="ListBullet"/>
        <w:spacing w:after="80" w:line="300" w:lineRule="auto"/>
        <w:ind w:left="540" w:hanging="271"/>
      </w:pPr>
      <w:r>
        <w:t>Late time, excessive breaks, undertime, and absences are reviewed.</w:t>
      </w:r>
    </w:p>
    <w:p>
      <w:pPr>
        <w:pStyle w:val="ListBullet"/>
        <w:spacing w:after="80" w:line="300" w:lineRule="auto"/>
        <w:ind w:left="540" w:hanging="271"/>
      </w:pPr>
      <w:r>
        <w:t>Scheduled days, rest days, holidays, leave, and overtime approvals are correct.</w:t>
      </w:r>
    </w:p>
    <w:p>
      <w:pPr>
        <w:pStyle w:val="ListBullet"/>
        <w:spacing w:after="80" w:line="300" w:lineRule="auto"/>
        <w:ind w:left="540" w:hanging="271"/>
      </w:pPr>
      <w:r>
        <w:t>Unapproved overtime and incomplete attendance are resolved before creating a run.</w:t>
      </w:r>
    </w:p>
    <w:p>
      <w:pPr>
        <w:pStyle w:val="Heading2"/>
      </w:pPr>
      <w:r>
        <w:t>Contribution reconciliation</w:t>
      </w:r>
    </w:p>
    <w:p>
      <w:r>
        <w:t>For each month, PayTimePro compares the calculated monthly statutory obligation with amounts already recorded in finalized payroll runs. The current preview charges only the remaining balance under the employee's selected deduction schedule.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60"/>
            </w:pPr>
            <w:r/>
            <w:r>
              <w:rPr>
                <w:rFonts w:ascii="Calibri" w:hAnsi="Calibri"/>
                <w:b/>
                <w:color w:val="1F4D78"/>
                <w:sz w:val="20"/>
              </w:rPr>
              <w:t>Year-end adjustment</w:t>
            </w:r>
          </w:p>
          <w:p>
            <w:pPr>
              <w:spacing w:after="0" w:line="276" w:lineRule="auto"/>
            </w:pPr>
            <w:r>
              <w:rPr>
                <w:rFonts w:ascii="Calibri" w:hAnsi="Calibri"/>
                <w:color w:val="1B2733"/>
                <w:sz w:val="19"/>
              </w:rPr>
              <w:t>When the payroll period ends on 31 December, the preview compares calculated annual tax with tax already withheld and prior refunds. Review the resulting additional withholding or refund before finalization.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F3"/>
          </w:tcPr>
          <w:p>
            <w:pPr>
              <w:spacing w:after="60"/>
            </w:pPr>
            <w:r/>
            <w:r>
              <w:rPr>
                <w:rFonts w:ascii="Calibri" w:hAnsi="Calibri"/>
                <w:b/>
                <w:color w:val="2C7A7B"/>
                <w:sz w:val="20"/>
              </w:rPr>
              <w:t>Recalculate after changes</w:t>
            </w:r>
          </w:p>
          <w:p>
            <w:pPr>
              <w:spacing w:after="0" w:line="276" w:lineRule="auto"/>
            </w:pPr>
            <w:r>
              <w:rPr>
                <w:rFonts w:ascii="Calibri" w:hAnsi="Calibri"/>
                <w:color w:val="1B2733"/>
                <w:sz w:val="19"/>
              </w:rPr>
              <w:t>If attendance, salary setup, recurring components, tax configuration, or prior finalized payroll changes, calculate the payout again. A payroll run accepts only an authentic, unchanged server preview.</w:t>
            </w:r>
          </w:p>
        </w:tc>
      </w:tr>
    </w:tbl>
    <w:p>
      <w:pPr>
        <w:spacing w:after="0"/>
      </w:pPr>
    </w:p>
    <w:p>
      <w:pPr>
        <w:pStyle w:val="Heading1"/>
      </w:pPr>
      <w:r>
        <w:t>5. Payroll Runs</w:t>
      </w:r>
    </w:p>
    <w:p>
      <w:r>
        <w:t>A payroll run groups employee payout previews for one period and pay date. Create the run only after every included employee has a fresh, resolved payout preview.</w:t>
      </w:r>
    </w:p>
    <w:p>
      <w:pPr>
        <w:pStyle w:val="Heading2"/>
      </w:pPr>
      <w:r>
        <w:t>Run states</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cantSplit/>
        </w:trPr>
        <w:tc>
          <w:tcPr>
            <w:tcW w:type="dxa" w:w="2100"/>
            <w:tcMar>
              <w:top w:w="80" w:type="dxa"/>
              <w:start w:w="120" w:type="dxa"/>
              <w:bottom w:w="80" w:type="dxa"/>
              <w:end w:w="120" w:type="dxa"/>
            </w:tcMar>
            <w:vAlign w:val="center"/>
            <w:shd w:fill="E8EEF5"/>
          </w:tcPr>
          <w:p>
            <w:pPr>
              <w:spacing w:before="0" w:after="0" w:line="264" w:lineRule="auto"/>
            </w:pPr>
            <w:r/>
            <w:r>
              <w:rPr>
                <w:rFonts w:ascii="Calibri" w:hAnsi="Calibri"/>
                <w:b/>
                <w:color w:val="17324D"/>
                <w:sz w:val="18"/>
              </w:rPr>
              <w:t>State</w:t>
            </w:r>
          </w:p>
        </w:tc>
        <w:tc>
          <w:tcPr>
            <w:tcW w:type="dxa" w:w="7260"/>
            <w:tcMar>
              <w:top w:w="80" w:type="dxa"/>
              <w:start w:w="120" w:type="dxa"/>
              <w:bottom w:w="80" w:type="dxa"/>
              <w:end w:w="120" w:type="dxa"/>
            </w:tcMar>
            <w:vAlign w:val="center"/>
            <w:shd w:fill="E8EEF5"/>
          </w:tcPr>
          <w:p>
            <w:pPr>
              <w:spacing w:before="0" w:after="0" w:line="264" w:lineRule="auto"/>
            </w:pPr>
            <w:r/>
            <w:r>
              <w:rPr>
                <w:rFonts w:ascii="Calibri" w:hAnsi="Calibri"/>
                <w:b/>
                <w:color w:val="17324D"/>
                <w:sz w:val="18"/>
              </w:rPr>
              <w:t>Use and effect</w:t>
            </w:r>
          </w:p>
        </w:tc>
      </w:tr>
      <w:tr>
        <w:trPr>
          <w:cantSplit/>
        </w:trPr>
        <w:tc>
          <w:tcPr>
            <w:tcW w:type="dxa" w:w="2100"/>
            <w:tcMar>
              <w:top w:w="80" w:type="dxa"/>
              <w:start w:w="120" w:type="dxa"/>
              <w:bottom w:w="80" w:type="dxa"/>
              <w:end w:w="120" w:type="dxa"/>
            </w:tcMar>
            <w:vAlign w:val="center"/>
          </w:tcPr>
          <w:p>
            <w:pPr>
              <w:spacing w:before="0" w:after="0" w:line="264" w:lineRule="auto"/>
            </w:pPr>
            <w:r/>
            <w:r>
              <w:rPr>
                <w:rFonts w:ascii="Calibri" w:hAnsi="Calibri"/>
                <w:b w:val="0"/>
                <w:color w:val="1B2733"/>
                <w:sz w:val="19"/>
              </w:rPr>
              <w:t>Draft</w:t>
            </w:r>
          </w:p>
        </w:tc>
        <w:tc>
          <w:tcPr>
            <w:tcW w:type="dxa" w:w="7260"/>
            <w:tcMar>
              <w:top w:w="80" w:type="dxa"/>
              <w:start w:w="120" w:type="dxa"/>
              <w:bottom w:w="80" w:type="dxa"/>
              <w:end w:w="120" w:type="dxa"/>
            </w:tcMar>
            <w:vAlign w:val="center"/>
          </w:tcPr>
          <w:p>
            <w:pPr>
              <w:spacing w:before="0" w:after="0" w:line="264" w:lineRule="auto"/>
            </w:pPr>
            <w:r/>
            <w:r>
              <w:rPr>
                <w:rFonts w:ascii="Calibri" w:hAnsi="Calibri"/>
                <w:b w:val="0"/>
                <w:color w:val="1B2733"/>
                <w:sz w:val="19"/>
              </w:rPr>
              <w:t>Review totals and employee items. A draft can be finalized or voided.</w:t>
            </w:r>
          </w:p>
        </w:tc>
      </w:tr>
      <w:tr>
        <w:trPr>
          <w:cantSplit/>
        </w:trPr>
        <w:tc>
          <w:tcPr>
            <w:tcW w:type="dxa" w:w="21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Finalized</w:t>
            </w:r>
          </w:p>
        </w:tc>
        <w:tc>
          <w:tcPr>
            <w:tcW w:type="dxa" w:w="72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Locks the approved payroll result into contribution, tax, benefit-ceiling, and reporting history.</w:t>
            </w:r>
          </w:p>
        </w:tc>
      </w:tr>
      <w:tr>
        <w:trPr>
          <w:cantSplit/>
        </w:trPr>
        <w:tc>
          <w:tcPr>
            <w:tcW w:type="dxa" w:w="2100"/>
            <w:tcMar>
              <w:top w:w="80" w:type="dxa"/>
              <w:start w:w="120" w:type="dxa"/>
              <w:bottom w:w="80" w:type="dxa"/>
              <w:end w:w="120" w:type="dxa"/>
            </w:tcMar>
            <w:vAlign w:val="center"/>
          </w:tcPr>
          <w:p>
            <w:pPr>
              <w:spacing w:before="0" w:after="0" w:line="264" w:lineRule="auto"/>
            </w:pPr>
            <w:r/>
            <w:r>
              <w:rPr>
                <w:rFonts w:ascii="Calibri" w:hAnsi="Calibri"/>
                <w:b w:val="0"/>
                <w:color w:val="1B2733"/>
                <w:sz w:val="19"/>
              </w:rPr>
              <w:t>Void</w:t>
            </w:r>
          </w:p>
        </w:tc>
        <w:tc>
          <w:tcPr>
            <w:tcW w:type="dxa" w:w="7260"/>
            <w:tcMar>
              <w:top w:w="80" w:type="dxa"/>
              <w:start w:w="120" w:type="dxa"/>
              <w:bottom w:w="80" w:type="dxa"/>
              <w:end w:w="120" w:type="dxa"/>
            </w:tcMar>
            <w:vAlign w:val="center"/>
          </w:tcPr>
          <w:p>
            <w:pPr>
              <w:spacing w:before="0" w:after="0" w:line="264" w:lineRule="auto"/>
            </w:pPr>
            <w:r/>
            <w:r>
              <w:rPr>
                <w:rFonts w:ascii="Calibri" w:hAnsi="Calibri"/>
                <w:b w:val="0"/>
                <w:color w:val="1B2733"/>
                <w:sz w:val="19"/>
              </w:rPr>
              <w:t>Excludes the run from finalized payroll history. A void run cannot be reopened or finalized.</w:t>
            </w:r>
          </w:p>
        </w:tc>
      </w:tr>
    </w:tbl>
    <w:p>
      <w:pPr>
        <w:spacing w:after="0"/>
      </w:pPr>
    </w:p>
    <w:p>
      <w:r>
        <w:br w:type="page"/>
      </w:r>
    </w:p>
    <w:p>
      <w:pPr>
        <w:pStyle w:val="Heading2"/>
      </w:pPr>
      <w:r>
        <w:t>Finalization controls</w:t>
      </w:r>
    </w:p>
    <w:p>
      <w:pPr>
        <w:pStyle w:val="ListBullet"/>
        <w:spacing w:after="80" w:line="300" w:lineRule="auto"/>
        <w:ind w:left="540" w:hanging="271"/>
      </w:pPr>
      <w:r>
        <w:t>Each preview must carry a valid signed calculation token.</w:t>
      </w:r>
    </w:p>
    <w:p>
      <w:pPr>
        <w:pStyle w:val="ListBullet"/>
        <w:spacing w:after="80" w:line="300" w:lineRule="auto"/>
        <w:ind w:left="540" w:hanging="271"/>
      </w:pPr>
      <w:r>
        <w:t>Attendance warnings must be resolved.</w:t>
      </w:r>
    </w:p>
    <w:p>
      <w:pPr>
        <w:pStyle w:val="ListBullet"/>
        <w:spacing w:after="80" w:line="300" w:lineRule="auto"/>
        <w:ind w:left="540" w:hanging="271"/>
      </w:pPr>
      <w:r>
        <w:t>The period must match every employee's pay frequency.</w:t>
      </w:r>
    </w:p>
    <w:p>
      <w:pPr>
        <w:pStyle w:val="ListBullet"/>
        <w:spacing w:after="80" w:line="300" w:lineRule="auto"/>
        <w:ind w:left="540" w:hanging="271"/>
      </w:pPr>
      <w:r>
        <w:t>Finalized periods cannot overlap for the same employee.</w:t>
      </w:r>
    </w:p>
    <w:p>
      <w:pPr>
        <w:pStyle w:val="ListBullet"/>
        <w:spacing w:after="80" w:line="300" w:lineRule="auto"/>
        <w:ind w:left="540" w:hanging="271"/>
      </w:pPr>
      <w:r>
        <w:t>Finalized runs cannot be returned to draft; void and recreate when correction is required.</w:t>
      </w:r>
    </w:p>
    <w:p>
      <w:pPr>
        <w:pStyle w:val="Heading1"/>
      </w:pPr>
      <w:r>
        <w:t>6. Reports</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0" w:line="264" w:lineRule="auto"/>
            </w:pPr>
            <w:r/>
            <w:r>
              <w:rPr>
                <w:rFonts w:ascii="Calibri" w:hAnsi="Calibri"/>
                <w:b/>
                <w:color w:val="17324D"/>
                <w:sz w:val="18"/>
              </w:rPr>
              <w:t>Report</w:t>
            </w:r>
          </w:p>
        </w:tc>
        <w:tc>
          <w:tcPr>
            <w:tcW w:type="dxa" w:w="6660"/>
            <w:tcMar>
              <w:top w:w="80" w:type="dxa"/>
              <w:start w:w="120" w:type="dxa"/>
              <w:bottom w:w="80" w:type="dxa"/>
              <w:end w:w="120" w:type="dxa"/>
            </w:tcMar>
            <w:vAlign w:val="center"/>
            <w:shd w:fill="E8EEF5"/>
          </w:tcPr>
          <w:p>
            <w:pPr>
              <w:spacing w:before="0" w:after="0" w:line="264" w:lineRule="auto"/>
            </w:pPr>
            <w:r/>
            <w:r>
              <w:rPr>
                <w:rFonts w:ascii="Calibri" w:hAnsi="Calibri"/>
                <w:b/>
                <w:color w:val="17324D"/>
                <w:sz w:val="18"/>
              </w:rPr>
              <w:t>What it summarizes</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Monthly statutory contributions</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Employee and employer SSS, SSS EC, PhilHealth, and Pag-IBIG amounts from finalized runs.</w:t>
            </w:r>
          </w:p>
        </w:tc>
      </w:tr>
      <w:tr>
        <w:trPr>
          <w:cantSplit/>
        </w:trPr>
        <w:tc>
          <w:tcPr>
            <w:tcW w:type="dxa" w:w="27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BIR 1601-C summary</w:t>
            </w:r>
          </w:p>
        </w:tc>
        <w:tc>
          <w:tcPr>
            <w:tcW w:type="dxa" w:w="66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Gross, taxable and non-taxable compensation, tax withheld, refunds, and net pay for the selected period.</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Employee 2316 summary</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Annual employee compensation and withholding values from finalized payroll history.</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E"/>
          </w:tcPr>
          <w:p>
            <w:pPr>
              <w:spacing w:after="60"/>
            </w:pPr>
            <w:r/>
            <w:r>
              <w:rPr>
                <w:rFonts w:ascii="Calibri" w:hAnsi="Calibri"/>
                <w:b/>
                <w:color w:val="B56D3C"/>
                <w:sz w:val="20"/>
              </w:rPr>
              <w:t>Report limitation</w:t>
            </w:r>
          </w:p>
          <w:p>
            <w:pPr>
              <w:spacing w:after="0" w:line="276" w:lineRule="auto"/>
            </w:pPr>
            <w:r>
              <w:rPr>
                <w:rFonts w:ascii="Calibri" w:hAnsi="Calibri"/>
                <w:color w:val="1B2733"/>
                <w:sz w:val="19"/>
              </w:rPr>
              <w:t>These are payroll summaries for review and reconciliation. They are not electronically filed government forms and do not submit data to BIR, SSS, PhilHealth, or Pag-IBIG.</w:t>
            </w:r>
          </w:p>
        </w:tc>
      </w:tr>
    </w:tbl>
    <w:p>
      <w:pPr>
        <w:spacing w:after="0"/>
      </w:pPr>
    </w:p>
    <w:p>
      <w:pPr>
        <w:pStyle w:val="Heading1"/>
      </w:pPr>
      <w:r>
        <w:t>7. Recommended payroll workflow</w:t>
      </w:r>
    </w:p>
    <w:p>
      <w:pPr>
        <w:pStyle w:val="ListNumber"/>
        <w:spacing w:after="80" w:line="300" w:lineRule="auto"/>
        <w:ind w:left="540" w:hanging="271"/>
      </w:pPr>
      <w:r>
        <w:t>Configure and validate Salary Setup for every employee in scope.</w:t>
      </w:r>
    </w:p>
    <w:p>
      <w:pPr>
        <w:pStyle w:val="ListNumber"/>
        <w:spacing w:after="80" w:line="300" w:lineRule="auto"/>
        <w:ind w:left="540" w:hanging="271"/>
      </w:pPr>
      <w:r>
        <w:t>Confirm the tax tables applicable to the pay date.</w:t>
      </w:r>
    </w:p>
    <w:p>
      <w:pPr>
        <w:pStyle w:val="ListNumber"/>
        <w:spacing w:after="80" w:line="300" w:lineRule="auto"/>
        <w:ind w:left="540" w:hanging="271"/>
      </w:pPr>
      <w:r>
        <w:t>Sync or enter attendance, leave, holidays, and overtime.</w:t>
      </w:r>
    </w:p>
    <w:p>
      <w:pPr>
        <w:pStyle w:val="ListNumber"/>
        <w:spacing w:after="80" w:line="300" w:lineRule="auto"/>
        <w:ind w:left="540" w:hanging="271"/>
      </w:pPr>
      <w:r>
        <w:t>Resolve incomplete punches and pending approvals.</w:t>
      </w:r>
    </w:p>
    <w:p>
      <w:pPr>
        <w:pStyle w:val="ListNumber"/>
        <w:spacing w:after="80" w:line="300" w:lineRule="auto"/>
        <w:ind w:left="540" w:hanging="271"/>
      </w:pPr>
      <w:r>
        <w:t>Calculate each employee in Payout View.</w:t>
      </w:r>
    </w:p>
    <w:p>
      <w:pPr>
        <w:pStyle w:val="ListNumber"/>
        <w:spacing w:after="80" w:line="300" w:lineRule="auto"/>
        <w:ind w:left="540" w:hanging="271"/>
      </w:pPr>
      <w:r>
        <w:t>Review gross pay, deductions, employer costs, tax, and net pay.</w:t>
      </w:r>
    </w:p>
    <w:p>
      <w:pPr>
        <w:pStyle w:val="ListNumber"/>
        <w:spacing w:after="80" w:line="300" w:lineRule="auto"/>
        <w:ind w:left="540" w:hanging="271"/>
      </w:pPr>
      <w:r>
        <w:t>Recalculate any preview affected by a correction.</w:t>
      </w:r>
    </w:p>
    <w:p>
      <w:pPr>
        <w:pStyle w:val="ListNumber"/>
        <w:spacing w:after="80" w:line="300" w:lineRule="auto"/>
        <w:ind w:left="540" w:hanging="271"/>
      </w:pPr>
      <w:r>
        <w:t>Create the payroll run from the current previews.</w:t>
      </w:r>
    </w:p>
    <w:p>
      <w:pPr>
        <w:pStyle w:val="ListNumber"/>
        <w:spacing w:after="80" w:line="300" w:lineRule="auto"/>
        <w:ind w:left="540" w:hanging="271"/>
      </w:pPr>
      <w:r>
        <w:t>Review the draft totals and employee-level details.</w:t>
      </w:r>
    </w:p>
    <w:p>
      <w:pPr>
        <w:pStyle w:val="ListNumber"/>
        <w:spacing w:after="80" w:line="300" w:lineRule="auto"/>
        <w:ind w:left="540" w:hanging="271"/>
      </w:pPr>
      <w:r>
        <w:t>Finalize the run after authorization, or void it if it must not proceed.</w:t>
      </w:r>
    </w:p>
    <w:p>
      <w:pPr>
        <w:pStyle w:val="ListNumber"/>
        <w:spacing w:after="80" w:line="300" w:lineRule="auto"/>
        <w:ind w:left="540" w:hanging="271"/>
      </w:pPr>
      <w:r>
        <w:t>Generate reports and reconcile them with agency portals before filing and remittance.</w:t>
      </w:r>
    </w:p>
    <w:p>
      <w:pPr>
        <w:pStyle w:val="Heading2"/>
      </w:pPr>
      <w:r>
        <w:t>Pre-finalization checklist</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0" w:line="264" w:lineRule="auto"/>
            </w:pPr>
            <w:r/>
            <w:r>
              <w:rPr>
                <w:rFonts w:ascii="Calibri" w:hAnsi="Calibri"/>
                <w:b/>
                <w:color w:val="17324D"/>
                <w:sz w:val="18"/>
              </w:rPr>
              <w:t>Check</w:t>
            </w:r>
          </w:p>
        </w:tc>
        <w:tc>
          <w:tcPr>
            <w:tcW w:type="dxa" w:w="6660"/>
            <w:tcMar>
              <w:top w:w="80" w:type="dxa"/>
              <w:start w:w="120" w:type="dxa"/>
              <w:bottom w:w="80" w:type="dxa"/>
              <w:end w:w="120" w:type="dxa"/>
            </w:tcMar>
            <w:vAlign w:val="center"/>
            <w:shd w:fill="E8EEF5"/>
          </w:tcPr>
          <w:p>
            <w:pPr>
              <w:spacing w:before="0" w:after="0" w:line="264" w:lineRule="auto"/>
            </w:pPr>
            <w:r/>
            <w:r>
              <w:rPr>
                <w:rFonts w:ascii="Calibri" w:hAnsi="Calibri"/>
                <w:b/>
                <w:color w:val="17324D"/>
                <w:sz w:val="18"/>
              </w:rPr>
              <w:t>Complete when…</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Employee setup</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Pay basis, rate, frequency, tax status, contribution base, and effective date are correct.</w:t>
            </w:r>
          </w:p>
        </w:tc>
      </w:tr>
      <w:tr>
        <w:trPr>
          <w:cantSplit/>
        </w:trPr>
        <w:tc>
          <w:tcPr>
            <w:tcW w:type="dxa" w:w="27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MWE status</w:t>
            </w:r>
          </w:p>
        </w:tc>
        <w:tc>
          <w:tcPr>
            <w:tcW w:type="dxa" w:w="66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Classification, wage region, and current minimum daily wage are supported by records.</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Attendance</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Punches, leave, rest days, holidays, and overtime are complete and approved.</w:t>
            </w:r>
          </w:p>
        </w:tc>
      </w:tr>
      <w:tr>
        <w:trPr>
          <w:cantSplit/>
        </w:trPr>
        <w:tc>
          <w:tcPr>
            <w:tcW w:type="dxa" w:w="27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Components</w:t>
            </w:r>
          </w:p>
        </w:tc>
        <w:tc>
          <w:tcPr>
            <w:tcW w:type="dxa" w:w="66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Recurring earnings, deductions, taxability, and benefit categories are current.</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Taxes</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Applicable table, year-to-date taxable compensation, withholding, and year-end adjustment are reviewed.</w:t>
            </w:r>
          </w:p>
        </w:tc>
      </w:tr>
      <w:tr>
        <w:trPr>
          <w:cantSplit/>
        </w:trPr>
        <w:tc>
          <w:tcPr>
            <w:tcW w:type="dxa" w:w="27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Contributions</w:t>
            </w:r>
          </w:p>
        </w:tc>
        <w:tc>
          <w:tcPr>
            <w:tcW w:type="dxa" w:w="66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Employee/employer shares and prior finalized monthly amounts reconcile.</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Authorization</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The reviewer has approved employee details, total net pay, and funding.</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E"/>
          </w:tcPr>
          <w:p>
            <w:pPr>
              <w:spacing w:after="60"/>
            </w:pPr>
            <w:r/>
            <w:r>
              <w:rPr>
                <w:rFonts w:ascii="Calibri" w:hAnsi="Calibri"/>
                <w:b/>
                <w:color w:val="B56D3C"/>
                <w:sz w:val="20"/>
              </w:rPr>
              <w:t>Stop before finalizing</w:t>
            </w:r>
          </w:p>
          <w:p>
            <w:pPr>
              <w:spacing w:after="0" w:line="276" w:lineRule="auto"/>
            </w:pPr>
            <w:r>
              <w:rPr>
                <w:rFonts w:ascii="Calibri" w:hAnsi="Calibri"/>
                <w:color w:val="1B2733"/>
                <w:sz w:val="19"/>
              </w:rPr>
              <w:t>Do not finalize until salary settings, wage classifications, attendance, benefit treatment, statutory IDs, and payroll totals have been reviewed. Finalization affects later tax, contribution, benefit-ceiling, and report calculations.</w:t>
            </w:r>
          </w:p>
        </w:tc>
      </w:tr>
    </w:tbl>
    <w:p>
      <w:pPr>
        <w:spacing w:after="0"/>
      </w:pPr>
    </w:p>
    <w:p>
      <w:pPr>
        <w:pStyle w:val="Heading1"/>
      </w:pPr>
      <w:r>
        <w:t>8. Troubleshooting</w:t>
      </w:r>
    </w:p>
    <w:tbl>
      <w:tblPr>
        <w:tblStyle w:val="TableGrid"/>
        <w:tblW w:type="dxa" w:w="9360"/>
        <w:tblLayout w:type="fixed"/>
        <w:tblLook w:firstColumn="1" w:firstRow="1" w:lastColumn="0" w:lastRow="0" w:noHBand="0" w:noVBand="1" w:val="04A0"/>
        <w:jc w:val="left"/>
        <w:tblInd w:w="120" w:type="dxa"/>
      </w:tblPr>
      <w:tblGrid>
        <w:gridCol w:w="3200"/>
        <w:gridCol w:w="6160"/>
      </w:tblGrid>
      <w:tr>
        <w:trPr>
          <w:tblHeader w:val="true"/>
          <w:cantSplit/>
        </w:trPr>
        <w:tc>
          <w:tcPr>
            <w:tcW w:type="dxa" w:w="3200"/>
            <w:tcMar>
              <w:top w:w="80" w:type="dxa"/>
              <w:start w:w="120" w:type="dxa"/>
              <w:bottom w:w="80" w:type="dxa"/>
              <w:end w:w="120" w:type="dxa"/>
            </w:tcMar>
            <w:vAlign w:val="center"/>
            <w:shd w:fill="E8EEF5"/>
          </w:tcPr>
          <w:p>
            <w:pPr>
              <w:spacing w:before="0" w:after="0" w:line="264" w:lineRule="auto"/>
            </w:pPr>
            <w:r/>
            <w:r>
              <w:rPr>
                <w:rFonts w:ascii="Calibri" w:hAnsi="Calibri"/>
                <w:b/>
                <w:color w:val="17324D"/>
                <w:sz w:val="18"/>
              </w:rPr>
              <w:t>Message or symptom</w:t>
            </w:r>
          </w:p>
        </w:tc>
        <w:tc>
          <w:tcPr>
            <w:tcW w:type="dxa" w:w="6160"/>
            <w:tcMar>
              <w:top w:w="80" w:type="dxa"/>
              <w:start w:w="120" w:type="dxa"/>
              <w:bottom w:w="80" w:type="dxa"/>
              <w:end w:w="120" w:type="dxa"/>
            </w:tcMar>
            <w:vAlign w:val="center"/>
            <w:shd w:fill="E8EEF5"/>
          </w:tcPr>
          <w:p>
            <w:pPr>
              <w:spacing w:before="0" w:after="0" w:line="264" w:lineRule="auto"/>
            </w:pPr>
            <w:r/>
            <w:r>
              <w:rPr>
                <w:rFonts w:ascii="Calibri" w:hAnsi="Calibri"/>
                <w:b/>
                <w:color w:val="17324D"/>
                <w:sz w:val="18"/>
              </w:rPr>
              <w:t>What to check</w:t>
            </w:r>
          </w:p>
        </w:tc>
      </w:tr>
      <w:tr>
        <w:trPr>
          <w:cantSplit/>
        </w:trPr>
        <w:tc>
          <w:tcPr>
            <w:tcW w:type="dxa" w:w="3200"/>
            <w:tcMar>
              <w:top w:w="80" w:type="dxa"/>
              <w:start w:w="120" w:type="dxa"/>
              <w:bottom w:w="80" w:type="dxa"/>
              <w:end w:w="120" w:type="dxa"/>
            </w:tcMar>
            <w:vAlign w:val="center"/>
          </w:tcPr>
          <w:p>
            <w:pPr>
              <w:spacing w:before="0" w:after="0" w:line="264" w:lineRule="auto"/>
            </w:pPr>
            <w:r/>
            <w:r>
              <w:rPr>
                <w:rFonts w:ascii="Calibri" w:hAnsi="Calibri"/>
                <w:b w:val="0"/>
                <w:color w:val="1B2733"/>
                <w:sz w:val="19"/>
              </w:rPr>
              <w:t>Employee payroll setup was not found</w:t>
            </w:r>
          </w:p>
        </w:tc>
        <w:tc>
          <w:tcPr>
            <w:tcW w:type="dxa" w:w="6160"/>
            <w:tcMar>
              <w:top w:w="80" w:type="dxa"/>
              <w:start w:w="120" w:type="dxa"/>
              <w:bottom w:w="80" w:type="dxa"/>
              <w:end w:w="120" w:type="dxa"/>
            </w:tcMar>
            <w:vAlign w:val="center"/>
          </w:tcPr>
          <w:p>
            <w:pPr>
              <w:spacing w:before="0" w:after="0" w:line="264" w:lineRule="auto"/>
            </w:pPr>
            <w:r/>
            <w:r>
              <w:rPr>
                <w:rFonts w:ascii="Calibri" w:hAnsi="Calibri"/>
                <w:b w:val="0"/>
                <w:color w:val="1B2733"/>
                <w:sz w:val="19"/>
              </w:rPr>
              <w:t>Open Salary Setup, complete the employee profile, and save it.</w:t>
            </w:r>
          </w:p>
        </w:tc>
      </w:tr>
      <w:tr>
        <w:trPr>
          <w:cantSplit/>
        </w:trPr>
        <w:tc>
          <w:tcPr>
            <w:tcW w:type="dxa" w:w="32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No applicable tax configuration</w:t>
            </w:r>
          </w:p>
        </w:tc>
        <w:tc>
          <w:tcPr>
            <w:tcW w:type="dxa" w:w="61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Check the table's frequency, effective dates, and active state for the pay date.</w:t>
            </w:r>
          </w:p>
        </w:tc>
      </w:tr>
      <w:tr>
        <w:trPr>
          <w:cantSplit/>
        </w:trPr>
        <w:tc>
          <w:tcPr>
            <w:tcW w:type="dxa" w:w="3200"/>
            <w:tcMar>
              <w:top w:w="80" w:type="dxa"/>
              <w:start w:w="120" w:type="dxa"/>
              <w:bottom w:w="80" w:type="dxa"/>
              <w:end w:w="120" w:type="dxa"/>
            </w:tcMar>
            <w:vAlign w:val="center"/>
          </w:tcPr>
          <w:p>
            <w:pPr>
              <w:spacing w:before="0" w:after="0" w:line="264" w:lineRule="auto"/>
            </w:pPr>
            <w:r/>
            <w:r>
              <w:rPr>
                <w:rFonts w:ascii="Calibri" w:hAnsi="Calibri"/>
                <w:b w:val="0"/>
                <w:color w:val="1B2733"/>
                <w:sz w:val="19"/>
              </w:rPr>
              <w:t>More than one tax configuration applies</w:t>
            </w:r>
          </w:p>
        </w:tc>
        <w:tc>
          <w:tcPr>
            <w:tcW w:type="dxa" w:w="6160"/>
            <w:tcMar>
              <w:top w:w="80" w:type="dxa"/>
              <w:start w:w="120" w:type="dxa"/>
              <w:bottom w:w="80" w:type="dxa"/>
              <w:end w:w="120" w:type="dxa"/>
            </w:tcMar>
            <w:vAlign w:val="center"/>
          </w:tcPr>
          <w:p>
            <w:pPr>
              <w:spacing w:before="0" w:after="0" w:line="264" w:lineRule="auto"/>
            </w:pPr>
            <w:r/>
            <w:r>
              <w:rPr>
                <w:rFonts w:ascii="Calibri" w:hAnsi="Calibri"/>
                <w:b w:val="0"/>
                <w:color w:val="1B2733"/>
                <w:sz w:val="19"/>
              </w:rPr>
              <w:t>Remove overlapping active effective-date ranges.</w:t>
            </w:r>
          </w:p>
        </w:tc>
      </w:tr>
      <w:tr>
        <w:trPr>
          <w:cantSplit/>
        </w:trPr>
        <w:tc>
          <w:tcPr>
            <w:tcW w:type="dxa" w:w="32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Payroll period does not match frequency</w:t>
            </w:r>
          </w:p>
        </w:tc>
        <w:tc>
          <w:tcPr>
            <w:tcW w:type="dxa" w:w="61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Use 7 days for weekly, 14 days for biweekly, 1–15 or 16–month-end for semi-monthly, or the full calendar month for monthly.</w:t>
            </w:r>
          </w:p>
        </w:tc>
      </w:tr>
      <w:tr>
        <w:trPr>
          <w:cantSplit/>
        </w:trPr>
        <w:tc>
          <w:tcPr>
            <w:tcW w:type="dxa" w:w="3200"/>
            <w:tcMar>
              <w:top w:w="80" w:type="dxa"/>
              <w:start w:w="120" w:type="dxa"/>
              <w:bottom w:w="80" w:type="dxa"/>
              <w:end w:w="120" w:type="dxa"/>
            </w:tcMar>
            <w:vAlign w:val="center"/>
          </w:tcPr>
          <w:p>
            <w:pPr>
              <w:spacing w:before="0" w:after="0" w:line="264" w:lineRule="auto"/>
            </w:pPr>
            <w:r/>
            <w:r>
              <w:rPr>
                <w:rFonts w:ascii="Calibri" w:hAnsi="Calibri"/>
                <w:b w:val="0"/>
                <w:color w:val="1B2733"/>
                <w:sz w:val="19"/>
              </w:rPr>
              <w:t>Attendance blocks finalization</w:t>
            </w:r>
          </w:p>
        </w:tc>
        <w:tc>
          <w:tcPr>
            <w:tcW w:type="dxa" w:w="6160"/>
            <w:tcMar>
              <w:top w:w="80" w:type="dxa"/>
              <w:start w:w="120" w:type="dxa"/>
              <w:bottom w:w="80" w:type="dxa"/>
              <w:end w:w="120" w:type="dxa"/>
            </w:tcMar>
            <w:vAlign w:val="center"/>
          </w:tcPr>
          <w:p>
            <w:pPr>
              <w:spacing w:before="0" w:after="0" w:line="264" w:lineRule="auto"/>
            </w:pPr>
            <w:r/>
            <w:r>
              <w:rPr>
                <w:rFonts w:ascii="Calibri" w:hAnsi="Calibri"/>
                <w:b w:val="0"/>
                <w:color w:val="1B2733"/>
                <w:sz w:val="19"/>
              </w:rPr>
              <w:t>Resolve missing punches, unapproved overtime, leave, holiday, or schedule issues, then recalculate.</w:t>
            </w:r>
          </w:p>
        </w:tc>
      </w:tr>
      <w:tr>
        <w:trPr>
          <w:cantSplit/>
        </w:trPr>
        <w:tc>
          <w:tcPr>
            <w:tcW w:type="dxa" w:w="32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Preview is invalid or expired</w:t>
            </w:r>
          </w:p>
        </w:tc>
        <w:tc>
          <w:tcPr>
            <w:tcW w:type="dxa" w:w="61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Recalculate the payout; do not reuse a preview after source data changes.</w:t>
            </w:r>
          </w:p>
        </w:tc>
      </w:tr>
      <w:tr>
        <w:trPr>
          <w:cantSplit/>
        </w:trPr>
        <w:tc>
          <w:tcPr>
            <w:tcW w:type="dxa" w:w="3200"/>
            <w:tcMar>
              <w:top w:w="80" w:type="dxa"/>
              <w:start w:w="120" w:type="dxa"/>
              <w:bottom w:w="80" w:type="dxa"/>
              <w:end w:w="120" w:type="dxa"/>
            </w:tcMar>
            <w:vAlign w:val="center"/>
          </w:tcPr>
          <w:p>
            <w:pPr>
              <w:spacing w:before="0" w:after="0" w:line="264" w:lineRule="auto"/>
            </w:pPr>
            <w:r/>
            <w:r>
              <w:rPr>
                <w:rFonts w:ascii="Calibri" w:hAnsi="Calibri"/>
                <w:b w:val="0"/>
                <w:color w:val="1B2733"/>
                <w:sz w:val="19"/>
              </w:rPr>
              <w:t>Contribution differs from expectation</w:t>
            </w:r>
          </w:p>
        </w:tc>
        <w:tc>
          <w:tcPr>
            <w:tcW w:type="dxa" w:w="6160"/>
            <w:tcMar>
              <w:top w:w="80" w:type="dxa"/>
              <w:start w:w="120" w:type="dxa"/>
              <w:bottom w:w="80" w:type="dxa"/>
              <w:end w:w="120" w:type="dxa"/>
            </w:tcMar>
            <w:vAlign w:val="center"/>
          </w:tcPr>
          <w:p>
            <w:pPr>
              <w:spacing w:before="0" w:after="0" w:line="264" w:lineRule="auto"/>
            </w:pPr>
            <w:r/>
            <w:r>
              <w:rPr>
                <w:rFonts w:ascii="Calibri" w:hAnsi="Calibri"/>
                <w:b w:val="0"/>
                <w:color w:val="1B2733"/>
                <w:sz w:val="19"/>
              </w:rPr>
              <w:t>Check the monthly contribution base, deduction schedule, pay date, and contributions already finalized that month.</w:t>
            </w:r>
          </w:p>
        </w:tc>
      </w:tr>
      <w:tr>
        <w:trPr>
          <w:cantSplit/>
        </w:trPr>
        <w:tc>
          <w:tcPr>
            <w:tcW w:type="dxa" w:w="32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Report has no data</w:t>
            </w:r>
          </w:p>
        </w:tc>
        <w:tc>
          <w:tcPr>
            <w:tcW w:type="dxa" w:w="61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Confirm the selected range and ensure the relevant payroll run is finalized, not draft or void.</w:t>
            </w:r>
          </w:p>
        </w:tc>
      </w:tr>
    </w:tbl>
    <w:p>
      <w:pPr>
        <w:spacing w:after="0"/>
      </w:pPr>
    </w:p>
    <w:p>
      <w:pPr>
        <w:pStyle w:val="Heading2"/>
      </w:pPr>
      <w:r>
        <w:t>Glossary</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0" w:line="264" w:lineRule="auto"/>
            </w:pPr>
            <w:r/>
            <w:r>
              <w:rPr>
                <w:rFonts w:ascii="Calibri" w:hAnsi="Calibri"/>
                <w:b/>
                <w:color w:val="17324D"/>
                <w:sz w:val="18"/>
              </w:rPr>
              <w:t>Term</w:t>
            </w:r>
          </w:p>
        </w:tc>
        <w:tc>
          <w:tcPr>
            <w:tcW w:type="dxa" w:w="6660"/>
            <w:tcMar>
              <w:top w:w="80" w:type="dxa"/>
              <w:start w:w="120" w:type="dxa"/>
              <w:bottom w:w="80" w:type="dxa"/>
              <w:end w:w="120" w:type="dxa"/>
            </w:tcMar>
            <w:vAlign w:val="center"/>
            <w:shd w:fill="E8EEF5"/>
          </w:tcPr>
          <w:p>
            <w:pPr>
              <w:spacing w:before="0" w:after="0" w:line="264" w:lineRule="auto"/>
            </w:pPr>
            <w:r/>
            <w:r>
              <w:rPr>
                <w:rFonts w:ascii="Calibri" w:hAnsi="Calibri"/>
                <w:b/>
                <w:color w:val="17324D"/>
                <w:sz w:val="18"/>
              </w:rPr>
              <w:t>Meaning</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Contribution base</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Monthly compensation amount used to calculate statutory contributions.</w:t>
            </w:r>
          </w:p>
        </w:tc>
      </w:tr>
      <w:tr>
        <w:trPr>
          <w:cantSplit/>
        </w:trPr>
        <w:tc>
          <w:tcPr>
            <w:tcW w:type="dxa" w:w="27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Cutoff</w:t>
            </w:r>
          </w:p>
        </w:tc>
        <w:tc>
          <w:tcPr>
            <w:tcW w:type="dxa" w:w="66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A payroll subperiod, commonly the first or second half of a month.</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MWE</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Minimum wage earner, subject to legal qualification and regional wage rules.</w:t>
            </w:r>
          </w:p>
        </w:tc>
      </w:tr>
      <w:tr>
        <w:trPr>
          <w:cantSplit/>
        </w:trPr>
        <w:tc>
          <w:tcPr>
            <w:tcW w:type="dxa" w:w="270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Preview token</w:t>
            </w:r>
          </w:p>
        </w:tc>
        <w:tc>
          <w:tcPr>
            <w:tcW w:type="dxa" w:w="6660"/>
            <w:shd w:fill="FAFBFC"/>
            <w:tcMar>
              <w:top w:w="80" w:type="dxa"/>
              <w:start w:w="120" w:type="dxa"/>
              <w:bottom w:w="80" w:type="dxa"/>
              <w:end w:w="120" w:type="dxa"/>
            </w:tcMar>
            <w:vAlign w:val="center"/>
          </w:tcPr>
          <w:p>
            <w:pPr>
              <w:spacing w:before="0" w:after="0" w:line="264" w:lineRule="auto"/>
            </w:pPr>
            <w:r/>
            <w:r>
              <w:rPr>
                <w:rFonts w:ascii="Calibri" w:hAnsi="Calibri"/>
                <w:b w:val="0"/>
                <w:color w:val="1B2733"/>
                <w:sz w:val="19"/>
              </w:rPr>
              <w:t>Server signature proving the payroll calculation is authentic and unchanged.</w:t>
            </w:r>
          </w:p>
        </w:tc>
      </w:tr>
      <w:tr>
        <w:trPr>
          <w:cantSplit/>
        </w:trPr>
        <w:tc>
          <w:tcPr>
            <w:tcW w:type="dxa" w:w="2700"/>
            <w:tcMar>
              <w:top w:w="80" w:type="dxa"/>
              <w:start w:w="120" w:type="dxa"/>
              <w:bottom w:w="80" w:type="dxa"/>
              <w:end w:w="120" w:type="dxa"/>
            </w:tcMar>
            <w:vAlign w:val="center"/>
          </w:tcPr>
          <w:p>
            <w:pPr>
              <w:spacing w:before="0" w:after="0" w:line="264" w:lineRule="auto"/>
            </w:pPr>
            <w:r/>
            <w:r>
              <w:rPr>
                <w:rFonts w:ascii="Calibri" w:hAnsi="Calibri"/>
                <w:b w:val="0"/>
                <w:color w:val="1B2733"/>
                <w:sz w:val="19"/>
              </w:rPr>
              <w:t>Year-to-date (YTD)</w:t>
            </w:r>
          </w:p>
        </w:tc>
        <w:tc>
          <w:tcPr>
            <w:tcW w:type="dxa" w:w="6660"/>
            <w:tcMar>
              <w:top w:w="80" w:type="dxa"/>
              <w:start w:w="120" w:type="dxa"/>
              <w:bottom w:w="80" w:type="dxa"/>
              <w:end w:w="120" w:type="dxa"/>
            </w:tcMar>
            <w:vAlign w:val="center"/>
          </w:tcPr>
          <w:p>
            <w:pPr>
              <w:spacing w:before="0" w:after="0" w:line="264" w:lineRule="auto"/>
            </w:pPr>
            <w:r/>
            <w:r>
              <w:rPr>
                <w:rFonts w:ascii="Calibri" w:hAnsi="Calibri"/>
                <w:b w:val="0"/>
                <w:color w:val="1B2733"/>
                <w:sz w:val="19"/>
              </w:rPr>
              <w:t>Finalized values accumulated from the start of the calendar year through the current payroll.</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F3"/>
          </w:tcPr>
          <w:p>
            <w:pPr>
              <w:spacing w:after="60"/>
            </w:pPr>
            <w:r/>
            <w:r>
              <w:rPr>
                <w:rFonts w:ascii="Calibri" w:hAnsi="Calibri"/>
                <w:b/>
                <w:color w:val="2C7A7B"/>
                <w:sz w:val="20"/>
              </w:rPr>
              <w:t>Document control</w:t>
            </w:r>
          </w:p>
          <w:p>
            <w:pPr>
              <w:spacing w:after="0" w:line="276" w:lineRule="auto"/>
            </w:pPr>
            <w:r>
              <w:rPr>
                <w:rFonts w:ascii="Calibri" w:hAnsi="Calibri"/>
                <w:color w:val="1B2733"/>
                <w:sz w:val="19"/>
              </w:rPr>
              <w:t>Review this guide whenever payroll rules, government contribution schedules, tax tables, approval procedures, or PayTimePro behavior changes. Record operational changes in the organization's payroll policy and test them before live finalization.</w:t>
            </w:r>
          </w:p>
        </w:tc>
      </w:tr>
    </w:tbl>
    <w:p>
      <w:pPr>
        <w:spacing w:after="0"/>
      </w:pPr>
    </w:p>
    <w:sectPr w:rsidR="00FC693F" w:rsidRPr="0006063C" w:rsidSect="00034616">
      <w:footerReference w:type="default" r:id="rId9"/>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7788"/>
        <w:sz w:val="17"/>
      </w:rPr>
      <w:t xml:space="preserve">Internal operator reference  •  Page </w:t>
    </w:r>
    <w:r>
      <w:rPr>
        <w:rFonts w:ascii="Calibri" w:hAnsi="Calibri"/>
        <w:color w:val="667788"/>
        <w:sz w:val="17"/>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B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PayTimePro Payroll Module Guide</dc:title>
  <dc:subject>Operator guide for payroll setup, calculation, runs, and reporting</dc:subject>
  <dc:creator>PayTimePro</dc:creator>
  <cp:keywords>payroll, Philippines, BIR, SSS, PhilHealth, Pag-IBIG</cp:keywords>
  <dc:description>generated by python-docx</dc:description>
  <cp:lastModifiedBy/>
  <cp:revision>1</cp:revision>
  <dcterms:created xsi:type="dcterms:W3CDTF">2013-12-23T23:15:00Z</dcterms:created>
  <dcterms:modified xsi:type="dcterms:W3CDTF">2013-12-23T23:15:00Z</dcterms:modified>
  <cp:category/>
</cp:coreProperties>
</file>