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8111F"/>
            <w:tcBorders>
              <w:top w:val="single" w:sz="6" w:space="0" w:color="08111F"/>
              <w:left w:val="single" w:sz="6" w:space="0" w:color="08111F"/>
              <w:bottom w:val="single" w:sz="6" w:space="0" w:color="08111F"/>
              <w:right w:val="single" w:sz="6" w:space="0" w:color="08111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56"/>
              </w:rPr>
              <w:br/>
              <w:t>APPEALFORGE PAC</w:t>
              <w:br/>
            </w:r>
            <w:r>
              <w:rPr>
                <w:color w:val="DCE5EA"/>
                <w:sz w:val="24"/>
              </w:rPr>
              <w:t>Denial-to-appeal evidence assembly for post-acute Medicare Advantage teams</w:t>
              <w:br/>
            </w:r>
            <w:r>
              <w:rPr>
                <w:color w:val="F6B44B"/>
                <w:sz w:val="18"/>
              </w:rPr>
              <w:t>2026-06-25</w:t>
              <w:br/>
            </w:r>
          </w:p>
        </w:tc>
      </w:tr>
    </w:tbl>
    <w:p/>
    <w:p>
      <w:pPr>
        <w:jc w:val="center"/>
      </w:pPr>
      <w:r>
        <w:rPr>
          <w:b/>
          <w:color w:val="00A88E"/>
          <w:sz w:val="30"/>
        </w:rPr>
        <w:t>Build the product that makes winnable denials operationally appealable.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123047"/>
            <w:vAlign w:val="center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color w:val="FFFFFF"/>
                <w:sz w:val="19"/>
              </w:rPr>
              <w:t>Problem</w:t>
            </w:r>
          </w:p>
        </w:tc>
        <w:tc>
          <w:tcPr>
            <w:tcW w:type="dxa" w:w="8352"/>
            <w:vAlign w:val="center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9"/>
              </w:rPr>
              <w:t>Medicare Advantage post-acute denials are under-appealed because provider teams cannot assemble source-cited clinical evidence fast enough.</w:t>
            </w:r>
          </w:p>
        </w:tc>
      </w:tr>
      <w:tr>
        <w:tc>
          <w:tcPr>
            <w:tcW w:type="dxa" w:w="2304"/>
            <w:shd w:fill="123047"/>
            <w:vAlign w:val="center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color w:val="FFFFFF"/>
                <w:sz w:val="19"/>
              </w:rPr>
              <w:t>Wedge</w:t>
            </w:r>
          </w:p>
        </w:tc>
        <w:tc>
          <w:tcPr>
            <w:tcW w:type="dxa" w:w="8352"/>
            <w:vAlign w:val="center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9"/>
              </w:rPr>
              <w:t>SNF admission and continued-stay denials for Medicare Advantage plans.</w:t>
            </w:r>
          </w:p>
        </w:tc>
      </w:tr>
      <w:tr>
        <w:tc>
          <w:tcPr>
            <w:tcW w:type="dxa" w:w="2304"/>
            <w:shd w:fill="123047"/>
            <w:vAlign w:val="center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color w:val="FFFFFF"/>
                <w:sz w:val="19"/>
              </w:rPr>
              <w:t>Solution</w:t>
            </w:r>
          </w:p>
        </w:tc>
        <w:tc>
          <w:tcPr>
            <w:tcW w:type="dxa" w:w="8352"/>
            <w:vAlign w:val="center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9"/>
              </w:rPr>
              <w:t>Upload denial letter + clinical packet; parse denial; map evidence; identify gaps; generate human-reviewed appeal packet.</w:t>
            </w:r>
          </w:p>
        </w:tc>
      </w:tr>
      <w:tr>
        <w:tc>
          <w:tcPr>
            <w:tcW w:type="dxa" w:w="2304"/>
            <w:shd w:fill="123047"/>
            <w:vAlign w:val="center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color w:val="FFFFFF"/>
                <w:sz w:val="19"/>
              </w:rPr>
              <w:t>Buyer</w:t>
            </w:r>
          </w:p>
        </w:tc>
        <w:tc>
          <w:tcPr>
            <w:tcW w:type="dxa" w:w="8352"/>
            <w:vAlign w:val="center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9"/>
              </w:rPr>
              <w:t>Regional SNF/post-acute operators; VP Revenue Cycle, COO, VP Clinical Ops, Director of Admissions.</w:t>
            </w:r>
          </w:p>
        </w:tc>
      </w:tr>
      <w:tr>
        <w:tc>
          <w:tcPr>
            <w:tcW w:type="dxa" w:w="2304"/>
            <w:shd w:fill="123047"/>
            <w:vAlign w:val="center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color w:val="FFFFFF"/>
                <w:sz w:val="19"/>
              </w:rPr>
              <w:t>Codex objective</w:t>
            </w:r>
          </w:p>
        </w:tc>
        <w:tc>
          <w:tcPr>
            <w:tcW w:type="dxa" w:w="8352"/>
            <w:vAlign w:val="center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9"/>
              </w:rPr>
              <w:t>Build a polished local demo with seeded synthetic cases, beautiful UI, citation guardrails, packet export, and tests.</w:t>
            </w:r>
          </w:p>
        </w:tc>
      </w:tr>
    </w:tbl>
    <w:p>
      <w:r>
        <w:br w:type="page"/>
      </w:r>
    </w:p>
    <w:p>
      <w:pPr>
        <w:pStyle w:val="Heading1"/>
      </w:pPr>
      <w:r>
        <w:t>Document Map</w:t>
      </w:r>
    </w:p>
    <w:p>
      <w:pPr>
        <w:pStyle w:val="ListNumber"/>
      </w:pPr>
      <w:r>
        <w:rPr>
          <w:b/>
        </w:rPr>
        <w:t>Problem and timing</w:t>
      </w:r>
    </w:p>
    <w:p>
      <w:pPr>
        <w:pStyle w:val="ListNumber"/>
      </w:pPr>
      <w:r>
        <w:rPr>
          <w:b/>
        </w:rPr>
        <w:t>Product definition</w:t>
      </w:r>
    </w:p>
    <w:p>
      <w:pPr>
        <w:pStyle w:val="ListNumber"/>
      </w:pPr>
      <w:r>
        <w:rPr>
          <w:b/>
        </w:rPr>
        <w:t>MVP workflow</w:t>
      </w:r>
    </w:p>
    <w:p>
      <w:pPr>
        <w:pStyle w:val="ListNumber"/>
      </w:pPr>
      <w:r>
        <w:rPr>
          <w:b/>
        </w:rPr>
        <w:t>Design direction</w:t>
      </w:r>
    </w:p>
    <w:p>
      <w:pPr>
        <w:pStyle w:val="ListNumber"/>
      </w:pPr>
      <w:r>
        <w:rPr>
          <w:b/>
        </w:rPr>
        <w:t>Technical architecture</w:t>
      </w:r>
    </w:p>
    <w:p>
      <w:pPr>
        <w:pStyle w:val="ListNumber"/>
      </w:pPr>
      <w:r>
        <w:rPr>
          <w:b/>
        </w:rPr>
        <w:t>AI and evidence safety</w:t>
      </w:r>
    </w:p>
    <w:p>
      <w:pPr>
        <w:pStyle w:val="ListNumber"/>
      </w:pPr>
      <w:r>
        <w:rPr>
          <w:b/>
        </w:rPr>
        <w:t>Compliance posture</w:t>
      </w:r>
    </w:p>
    <w:p>
      <w:pPr>
        <w:pStyle w:val="ListNumber"/>
      </w:pPr>
      <w:r>
        <w:rPr>
          <w:b/>
        </w:rPr>
        <w:t>Codex tokenmax plan</w:t>
      </w:r>
    </w:p>
    <w:p>
      <w:pPr>
        <w:pStyle w:val="ListNumber"/>
      </w:pPr>
      <w:r>
        <w:rPr>
          <w:b/>
        </w:rPr>
        <w:t>GTM and validation</w:t>
      </w:r>
    </w:p>
    <w:p>
      <w:pPr>
        <w:pStyle w:val="ListNumber"/>
      </w:pPr>
      <w:r>
        <w:rPr>
          <w:b/>
        </w:rPr>
        <w:t>Source log</w:t>
      </w:r>
    </w:p>
    <w:p>
      <w:r>
        <w:br w:type="page"/>
      </w:r>
    </w:p>
    <w:p>
      <w:pPr>
        <w:pStyle w:val="Heading1"/>
      </w:pPr>
      <w:r>
        <w:t>1. Problem and timing</w:t>
      </w:r>
    </w:p>
    <w:p>
      <w:r>
        <w:rPr>
          <w:b/>
        </w:rPr>
        <w:t xml:space="preserve">Precise problem: </w:t>
      </w:r>
      <w:r>
        <w:t>Medicare Advantage post-acute denials are frequently under-appealed because SNF, IRF, LTCH, and hospital discharge teams cannot rapidly assemble the right clinical evidence, map it to the payer's stated reason, and produce a clean reconsideration packet before operational pressure wins.</w:t>
      </w:r>
    </w:p>
    <w:p>
      <w:r>
        <w:t>This is not a vague healthcare AI idea. It is a document-and-workflow problem with a measurable output: a source-cited appeal packet.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512"/>
            <w:shd w:fill="0D1B2A"/>
          </w:tcPr>
          <w:p>
            <w:r>
              <w:rPr>
                <w:color w:val="FFFFFF"/>
              </w:rPr>
              <w:t>Signal</w:t>
            </w:r>
          </w:p>
        </w:tc>
        <w:tc>
          <w:tcPr>
            <w:tcW w:type="dxa" w:w="3528"/>
            <w:shd w:fill="0D1B2A"/>
          </w:tcPr>
          <w:p>
            <w:r>
              <w:rPr>
                <w:color w:val="FFFFFF"/>
              </w:rPr>
              <w:t>Fact</w:t>
            </w:r>
          </w:p>
        </w:tc>
        <w:tc>
          <w:tcPr>
            <w:tcW w:type="dxa" w:w="3528"/>
            <w:shd w:fill="0D1B2A"/>
          </w:tcPr>
          <w:p>
            <w:r>
              <w:rPr>
                <w:color w:val="FFFFFF"/>
              </w:rPr>
              <w:t>Why it matters</w:t>
            </w:r>
          </w:p>
        </w:tc>
        <w:tc>
          <w:tcPr>
            <w:tcW w:type="dxa" w:w="1296"/>
            <w:shd w:fill="0D1B2A"/>
          </w:tcPr>
          <w:p>
            <w:r>
              <w:rPr>
                <w:color w:val="FFFFFF"/>
              </w:rPr>
              <w:t>Source</w:t>
            </w:r>
          </w:p>
        </w:tc>
      </w:tr>
      <w:tr>
        <w:tc>
          <w:tcPr>
            <w:tcW w:type="dxa" w:w="1512"/>
            <w:shd w:fill="F8F5EF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MA scale</w:t>
            </w:r>
          </w:p>
        </w:tc>
        <w:tc>
          <w:tcPr>
            <w:tcW w:type="dxa" w:w="3528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52.8M prior authorization determinations in 2024; 4.1M denied in full or part.</w:t>
            </w:r>
          </w:p>
        </w:tc>
        <w:tc>
          <w:tcPr>
            <w:tcW w:type="dxa" w:w="3528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Large recurring workflow surface.</w:t>
            </w:r>
          </w:p>
        </w:tc>
        <w:tc>
          <w:tcPr>
            <w:tcW w:type="dxa" w:w="1296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KFF</w:t>
            </w:r>
          </w:p>
        </w:tc>
      </w:tr>
      <w:tr>
        <w:tc>
          <w:tcPr>
            <w:tcW w:type="dxa" w:w="1512"/>
            <w:shd w:fill="F8F5EF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Under-appeal</w:t>
            </w:r>
          </w:p>
        </w:tc>
        <w:tc>
          <w:tcPr>
            <w:tcW w:type="dxa" w:w="3528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Only 11.5% of denied prior authorization requests were appealed.</w:t>
            </w:r>
          </w:p>
        </w:tc>
        <w:tc>
          <w:tcPr>
            <w:tcW w:type="dxa" w:w="3528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Pain exists between denial and appeal execution.</w:t>
            </w:r>
          </w:p>
        </w:tc>
        <w:tc>
          <w:tcPr>
            <w:tcW w:type="dxa" w:w="1296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KFF</w:t>
            </w:r>
          </w:p>
        </w:tc>
      </w:tr>
      <w:tr>
        <w:tc>
          <w:tcPr>
            <w:tcW w:type="dxa" w:w="1512"/>
            <w:shd w:fill="F8F5EF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Overturn signal</w:t>
            </w:r>
          </w:p>
        </w:tc>
        <w:tc>
          <w:tcPr>
            <w:tcW w:type="dxa" w:w="3528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More than 80% of appealed denials were overturned in 2019-2024.</w:t>
            </w:r>
          </w:p>
        </w:tc>
        <w:tc>
          <w:tcPr>
            <w:tcW w:type="dxa" w:w="3528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Appeals can be worth operational investment.</w:t>
            </w:r>
          </w:p>
        </w:tc>
        <w:tc>
          <w:tcPr>
            <w:tcW w:type="dxa" w:w="1296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KFF</w:t>
            </w:r>
          </w:p>
        </w:tc>
      </w:tr>
      <w:tr>
        <w:tc>
          <w:tcPr>
            <w:tcW w:type="dxa" w:w="1512"/>
            <w:shd w:fill="F8F5EF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SNF wedge</w:t>
            </w:r>
          </w:p>
        </w:tc>
        <w:tc>
          <w:tcPr>
            <w:tcW w:type="dxa" w:w="3528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OIG found 12% SNF admission denial rate in June 2024 sample; 18% appealed; 95% overturned when appealed.</w:t>
            </w:r>
          </w:p>
        </w:tc>
        <w:tc>
          <w:tcPr>
            <w:tcW w:type="dxa" w:w="3528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Precise post-acute wedge with sharp signal.</w:t>
            </w:r>
          </w:p>
        </w:tc>
        <w:tc>
          <w:tcPr>
            <w:tcW w:type="dxa" w:w="1296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HHS OIG</w:t>
            </w:r>
          </w:p>
        </w:tc>
      </w:tr>
      <w:tr>
        <w:tc>
          <w:tcPr>
            <w:tcW w:type="dxa" w:w="1512"/>
            <w:shd w:fill="F8F5EF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Regulatory pressure</w:t>
            </w:r>
          </w:p>
        </w:tc>
        <w:tc>
          <w:tcPr>
            <w:tcW w:type="dxa" w:w="3528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CMS-0057-F moves prior authorization toward policy/API reform by 2026/2027.</w:t>
            </w:r>
          </w:p>
        </w:tc>
        <w:tc>
          <w:tcPr>
            <w:tcW w:type="dxa" w:w="3528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Design API-ready later, PDF-ready now.</w:t>
            </w:r>
          </w:p>
        </w:tc>
        <w:tc>
          <w:tcPr>
            <w:tcW w:type="dxa" w:w="1296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CMS</w:t>
            </w:r>
          </w:p>
        </w:tc>
      </w:tr>
    </w:tbl>
    <w:p>
      <w:pPr>
        <w:pStyle w:val="Heading1"/>
      </w:pPr>
      <w:r>
        <w:t>2. Product definition</w:t>
      </w:r>
    </w:p>
    <w:p>
      <w:r>
        <w:t>AppealForge PAC is a B2B denial recovery workflow product for post-acute providers. It starts after a denial, when the plan has already stated the reason and the provider has clinical documentation.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D1B2A"/>
          </w:tcPr>
          <w:p>
            <w:r>
              <w:rPr>
                <w:color w:val="FFFFFF"/>
              </w:rPr>
              <w:t>Input</w:t>
            </w:r>
          </w:p>
        </w:tc>
        <w:tc>
          <w:tcPr>
            <w:tcW w:type="dxa" w:w="3360"/>
            <w:shd w:fill="0D1B2A"/>
          </w:tcPr>
          <w:p>
            <w:r>
              <w:rPr>
                <w:color w:val="FFFFFF"/>
              </w:rPr>
              <w:t>System action</w:t>
            </w:r>
          </w:p>
        </w:tc>
        <w:tc>
          <w:tcPr>
            <w:tcW w:type="dxa" w:w="3360"/>
            <w:shd w:fill="0D1B2A"/>
          </w:tcPr>
          <w:p>
            <w:r>
              <w:rPr>
                <w:color w:val="FFFFFF"/>
              </w:rPr>
              <w:t>Output</w:t>
            </w:r>
          </w:p>
        </w:tc>
      </w:tr>
      <w:tr>
        <w:tc>
          <w:tcPr>
            <w:tcW w:type="dxa" w:w="336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Denial letter</w:t>
            </w:r>
          </w:p>
        </w:tc>
        <w:tc>
          <w:tcPr>
            <w:tcW w:type="dxa" w:w="336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Parse plan, service, denial reason, deadline, appeal route.</w:t>
            </w:r>
          </w:p>
        </w:tc>
        <w:tc>
          <w:tcPr>
            <w:tcW w:type="dxa" w:w="336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Confirmed denial finding with citations.</w:t>
            </w:r>
          </w:p>
        </w:tc>
      </w:tr>
      <w:tr>
        <w:tc>
          <w:tcPr>
            <w:tcW w:type="dxa" w:w="336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Clinical PDFs</w:t>
            </w:r>
          </w:p>
        </w:tc>
        <w:tc>
          <w:tcPr>
            <w:tcW w:type="dxa" w:w="336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Classify pages and extract source quotes.</w:t>
            </w:r>
          </w:p>
        </w:tc>
        <w:tc>
          <w:tcPr>
            <w:tcW w:type="dxa" w:w="336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Evidence map with document/page/quote.</w:t>
            </w:r>
          </w:p>
        </w:tc>
      </w:tr>
      <w:tr>
        <w:tc>
          <w:tcPr>
            <w:tcW w:type="dxa" w:w="336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Missing documentation</w:t>
            </w:r>
          </w:p>
        </w:tc>
        <w:tc>
          <w:tcPr>
            <w:tcW w:type="dxa" w:w="336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Create checklist tasks by criterion.</w:t>
            </w:r>
          </w:p>
        </w:tc>
        <w:tc>
          <w:tcPr>
            <w:tcW w:type="dxa" w:w="336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Staff action list.</w:t>
            </w:r>
          </w:p>
        </w:tc>
      </w:tr>
      <w:tr>
        <w:tc>
          <w:tcPr>
            <w:tcW w:type="dxa" w:w="336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Reviewed evidence</w:t>
            </w:r>
          </w:p>
        </w:tc>
        <w:tc>
          <w:tcPr>
            <w:tcW w:type="dxa" w:w="336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Draft packet only from cited items.</w:t>
            </w:r>
          </w:p>
        </w:tc>
        <w:tc>
          <w:tcPr>
            <w:tcW w:type="dxa" w:w="336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Appeal letter, evidence table, attachment index.</w:t>
            </w:r>
          </w:p>
        </w:tc>
      </w:tr>
      <w:tr>
        <w:tc>
          <w:tcPr>
            <w:tcW w:type="dxa" w:w="336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Decision result</w:t>
            </w:r>
          </w:p>
        </w:tc>
        <w:tc>
          <w:tcPr>
            <w:tcW w:type="dxa" w:w="336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Track outcome and value.</w:t>
            </w:r>
          </w:p>
        </w:tc>
        <w:tc>
          <w:tcPr>
            <w:tcW w:type="dxa" w:w="336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ROI and payer pattern history.</w:t>
            </w:r>
          </w:p>
        </w:tc>
      </w:tr>
    </w:tbl>
    <w:p>
      <w:pPr>
        <w:pStyle w:val="Heading1"/>
      </w:pPr>
      <w:r>
        <w:t>3. MVP workflow</w:t>
      </w:r>
    </w:p>
    <w:p>
      <w:pPr>
        <w:pStyle w:val="ListBullet"/>
      </w:pPr>
      <w:r>
        <w:rPr>
          <w:b/>
        </w:rPr>
        <w:t xml:space="preserve">Create case: </w:t>
      </w:r>
      <w:r>
        <w:t>User enters facility, plan, service type, request type, denial date, and synthetic patient label.</w:t>
      </w:r>
    </w:p>
    <w:p>
      <w:pPr>
        <w:pStyle w:val="ListBullet"/>
      </w:pPr>
      <w:r>
        <w:rPr>
          <w:b/>
        </w:rPr>
        <w:t xml:space="preserve">Upload documents: </w:t>
      </w:r>
      <w:r>
        <w:t>Denial letter and clinical PDFs are uploaded, classified, and extracted into page-level records.</w:t>
      </w:r>
    </w:p>
    <w:p>
      <w:pPr>
        <w:pStyle w:val="ListBullet"/>
      </w:pPr>
      <w:r>
        <w:rPr>
          <w:b/>
        </w:rPr>
        <w:t xml:space="preserve">Review denial parser: </w:t>
      </w:r>
      <w:r>
        <w:t>User confirms denial reason, deadline, payer rationale, and expedited language.</w:t>
      </w:r>
    </w:p>
    <w:p>
      <w:pPr>
        <w:pStyle w:val="ListBullet"/>
      </w:pPr>
      <w:r>
        <w:rPr>
          <w:b/>
        </w:rPr>
        <w:t xml:space="preserve">Build evidence map: </w:t>
      </w:r>
      <w:r>
        <w:t>The system maps denial reasons to criteria and finds supporting source quotes.</w:t>
      </w:r>
    </w:p>
    <w:p>
      <w:pPr>
        <w:pStyle w:val="ListBullet"/>
      </w:pPr>
      <w:r>
        <w:rPr>
          <w:b/>
        </w:rPr>
        <w:t xml:space="preserve">Resolve gaps: </w:t>
      </w:r>
      <w:r>
        <w:t>Missing evidence becomes a targeted checklist instead of fabricated text.</w:t>
      </w:r>
    </w:p>
    <w:p>
      <w:pPr>
        <w:pStyle w:val="ListBullet"/>
      </w:pPr>
      <w:r>
        <w:rPr>
          <w:b/>
        </w:rPr>
        <w:t xml:space="preserve">Generate packet: </w:t>
      </w:r>
      <w:r>
        <w:t>The packet is drafted from reviewed evidence and marked draft.</w:t>
      </w:r>
    </w:p>
    <w:p>
      <w:pPr>
        <w:pStyle w:val="ListBullet"/>
      </w:pPr>
      <w:r>
        <w:rPr>
          <w:b/>
        </w:rPr>
        <w:t xml:space="preserve">Approve/export: </w:t>
      </w:r>
      <w:r>
        <w:t>A human reviewer approves and exports a versioned packet.</w:t>
      </w:r>
    </w:p>
    <w:p>
      <w:pPr>
        <w:pStyle w:val="ListBullet"/>
      </w:pPr>
      <w:r>
        <w:rPr>
          <w:b/>
        </w:rPr>
        <w:t xml:space="preserve">Track outcome: </w:t>
      </w:r>
      <w:r>
        <w:t>Staff record sent date, channel, confirmation, decision, and value.</w:t>
      </w:r>
    </w:p>
    <w:p>
      <w:pPr>
        <w:pStyle w:val="Heading1"/>
      </w:pPr>
      <w:r>
        <w:t>4. Design direction</w:t>
      </w:r>
    </w:p>
    <w:p>
      <w:r>
        <w:t>The design must not feel like a bland admin portal. The product handles stressful, deadline-driven work, so the interface should feel calm, high-trust, and precise.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D1B2A"/>
          </w:tcPr>
          <w:p>
            <w:r>
              <w:rPr>
                <w:color w:val="FFFFFF"/>
              </w:rPr>
              <w:t>Design pillar</w:t>
            </w:r>
          </w:p>
        </w:tc>
        <w:tc>
          <w:tcPr>
            <w:tcW w:type="dxa" w:w="3360"/>
            <w:shd w:fill="0D1B2A"/>
          </w:tcPr>
          <w:p>
            <w:r>
              <w:rPr>
                <w:color w:val="FFFFFF"/>
              </w:rPr>
              <w:t>Execution</w:t>
            </w:r>
          </w:p>
        </w:tc>
        <w:tc>
          <w:tcPr>
            <w:tcW w:type="dxa" w:w="3360"/>
            <w:shd w:fill="0D1B2A"/>
          </w:tcPr>
          <w:p>
            <w:r>
              <w:rPr>
                <w:color w:val="FFFFFF"/>
              </w:rPr>
              <w:t>Avoid</w:t>
            </w:r>
          </w:p>
        </w:tc>
      </w:tr>
      <w:tr>
        <w:tc>
          <w:tcPr>
            <w:tcW w:type="dxa" w:w="336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Premium clinical command center</w:t>
            </w:r>
          </w:p>
        </w:tc>
        <w:tc>
          <w:tcPr>
            <w:tcW w:type="dxa" w:w="336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Dark shell, warm paper packet, quiet teal/amber signals.</w:t>
            </w:r>
          </w:p>
        </w:tc>
        <w:tc>
          <w:tcPr>
            <w:tcW w:type="dxa" w:w="336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Generic white CRUD.</w:t>
            </w:r>
          </w:p>
        </w:tc>
      </w:tr>
      <w:tr>
        <w:tc>
          <w:tcPr>
            <w:tcW w:type="dxa" w:w="336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Evidence-first UX</w:t>
            </w:r>
          </w:p>
        </w:tc>
        <w:tc>
          <w:tcPr>
            <w:tcW w:type="dxa" w:w="336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Source drawer, citation chips, confidence rails.</w:t>
            </w:r>
          </w:p>
        </w:tc>
        <w:tc>
          <w:tcPr>
            <w:tcW w:type="dxa" w:w="336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AI magic claims.</w:t>
            </w:r>
          </w:p>
        </w:tc>
      </w:tr>
      <w:tr>
        <w:tc>
          <w:tcPr>
            <w:tcW w:type="dxa" w:w="336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Deadline calm</w:t>
            </w:r>
          </w:p>
        </w:tc>
        <w:tc>
          <w:tcPr>
            <w:tcW w:type="dxa" w:w="336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Subtle amber urgency and next actions.</w:t>
            </w:r>
          </w:p>
        </w:tc>
        <w:tc>
          <w:tcPr>
            <w:tcW w:type="dxa" w:w="336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Alarmist red overload.</w:t>
            </w:r>
          </w:p>
        </w:tc>
      </w:tr>
      <w:tr>
        <w:tc>
          <w:tcPr>
            <w:tcW w:type="dxa" w:w="336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Human review trust</w:t>
            </w:r>
          </w:p>
        </w:tc>
        <w:tc>
          <w:tcPr>
            <w:tcW w:type="dxa" w:w="336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Draft states, approval gates, audit stream.</w:t>
            </w:r>
          </w:p>
        </w:tc>
        <w:tc>
          <w:tcPr>
            <w:tcW w:type="dxa" w:w="336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Auto-submit language.</w:t>
            </w:r>
          </w:p>
        </w:tc>
      </w:tr>
    </w:tbl>
    <w:p>
      <w:pPr>
        <w:pStyle w:val="Heading1"/>
      </w:pPr>
      <w:r>
        <w:t>5. Technical architecture</w:t>
      </w:r>
    </w:p>
    <w:p>
      <w:pPr>
        <w:pStyle w:val="ListBullet"/>
      </w:pPr>
      <w:r>
        <w:rPr>
          <w:b/>
        </w:rPr>
        <w:t xml:space="preserve">Frontend: </w:t>
      </w:r>
      <w:r>
        <w:t>Next.js 15, TypeScript, Tailwind, custom AppealForge design tokens.</w:t>
      </w:r>
    </w:p>
    <w:p>
      <w:pPr>
        <w:pStyle w:val="ListBullet"/>
      </w:pPr>
      <w:r>
        <w:rPr>
          <w:b/>
        </w:rPr>
        <w:t xml:space="preserve">Database: </w:t>
      </w:r>
      <w:r>
        <w:t>PostgreSQL + Prisma with organization/facility scoped records.</w:t>
      </w:r>
    </w:p>
    <w:p>
      <w:pPr>
        <w:pStyle w:val="ListBullet"/>
      </w:pPr>
      <w:r>
        <w:rPr>
          <w:b/>
        </w:rPr>
        <w:t xml:space="preserve">Documents: </w:t>
      </w:r>
      <w:r>
        <w:t>Object storage abstraction; local adapter for demo; page-level extraction records.</w:t>
      </w:r>
    </w:p>
    <w:p>
      <w:pPr>
        <w:pStyle w:val="ListBullet"/>
      </w:pPr>
      <w:r>
        <w:rPr>
          <w:b/>
        </w:rPr>
        <w:t xml:space="preserve">Workers: </w:t>
      </w:r>
      <w:r>
        <w:t>Async extraction, parser, evidence, packet, and export jobs.</w:t>
      </w:r>
    </w:p>
    <w:p>
      <w:pPr>
        <w:pStyle w:val="ListBullet"/>
      </w:pPr>
      <w:r>
        <w:rPr>
          <w:b/>
        </w:rPr>
        <w:t xml:space="preserve">AI: </w:t>
      </w:r>
      <w:r>
        <w:t>Structured outputs only; deterministic mock in demo; citation-first production pipeline.</w:t>
      </w:r>
    </w:p>
    <w:p>
      <w:pPr>
        <w:pStyle w:val="ListBullet"/>
      </w:pPr>
      <w:r>
        <w:rPr>
          <w:b/>
        </w:rPr>
        <w:t xml:space="preserve">Export: </w:t>
      </w:r>
      <w:r>
        <w:t>Server-side packet PDF/HTML export with version history.</w:t>
      </w:r>
    </w:p>
    <w:p>
      <w:pPr>
        <w:pStyle w:val="ListBullet"/>
      </w:pPr>
      <w:r>
        <w:rPr>
          <w:b/>
        </w:rPr>
        <w:t xml:space="preserve">Security: </w:t>
      </w:r>
      <w:r>
        <w:t>RBAC, audit logs, no PHI in logs, encryption posture.</w:t>
      </w:r>
    </w:p>
    <w:p>
      <w:pPr>
        <w:pStyle w:val="Heading1"/>
      </w:pPr>
      <w:r>
        <w:t>6. AI and evidence safety</w:t>
      </w:r>
    </w:p>
    <w:p>
      <w:r>
        <w:t>The central technical moat is not an appeal letter generator. It is the evidence discipline: every claim must be supported or blocked.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D1B2A"/>
          </w:tcPr>
          <w:p>
            <w:r>
              <w:rPr>
                <w:color w:val="FFFFFF"/>
              </w:rPr>
              <w:t>Rule</w:t>
            </w:r>
          </w:p>
        </w:tc>
        <w:tc>
          <w:tcPr>
            <w:tcW w:type="dxa" w:w="5040"/>
            <w:shd w:fill="0D1B2A"/>
          </w:tcPr>
          <w:p>
            <w:r>
              <w:rPr>
                <w:color w:val="FFFFFF"/>
              </w:rPr>
              <w:t>Implementation</w:t>
            </w:r>
          </w:p>
        </w:tc>
      </w:tr>
      <w:tr>
        <w:tc>
          <w:tcPr>
            <w:tcW w:type="dxa" w:w="504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8"/>
              </w:rPr>
              <w:t>No uncited clinical claims</w:t>
            </w:r>
          </w:p>
        </w:tc>
        <w:tc>
          <w:tcPr>
            <w:tcW w:type="dxa" w:w="504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8"/>
              </w:rPr>
              <w:t>Evidence item requires document id, page number, and quote.</w:t>
            </w:r>
          </w:p>
        </w:tc>
      </w:tr>
      <w:tr>
        <w:tc>
          <w:tcPr>
            <w:tcW w:type="dxa" w:w="504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8"/>
              </w:rPr>
              <w:t>Missing evidence is a task</w:t>
            </w:r>
          </w:p>
        </w:tc>
        <w:tc>
          <w:tcPr>
            <w:tcW w:type="dxa" w:w="504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8"/>
              </w:rPr>
              <w:t>Create evidence gap with suggested owner and priority.</w:t>
            </w:r>
          </w:p>
        </w:tc>
      </w:tr>
      <w:tr>
        <w:tc>
          <w:tcPr>
            <w:tcW w:type="dxa" w:w="504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8"/>
              </w:rPr>
              <w:t>Draft until approved</w:t>
            </w:r>
          </w:p>
        </w:tc>
        <w:tc>
          <w:tcPr>
            <w:tcW w:type="dxa" w:w="504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8"/>
              </w:rPr>
              <w:t>AI output starts in `AI_DRAFT`; export requires reviewer gates.</w:t>
            </w:r>
          </w:p>
        </w:tc>
      </w:tr>
      <w:tr>
        <w:tc>
          <w:tcPr>
            <w:tcW w:type="dxa" w:w="504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8"/>
              </w:rPr>
              <w:t>Unsupported claim blocker</w:t>
            </w:r>
          </w:p>
        </w:tc>
        <w:tc>
          <w:tcPr>
            <w:tcW w:type="dxa" w:w="504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8"/>
              </w:rPr>
              <w:t>Every packet sentence is classified as supported, metadata, template, or blocked.</w:t>
            </w:r>
          </w:p>
        </w:tc>
      </w:tr>
      <w:tr>
        <w:tc>
          <w:tcPr>
            <w:tcW w:type="dxa" w:w="504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8"/>
              </w:rPr>
              <w:t>No proprietary criteria misuse</w:t>
            </w:r>
          </w:p>
        </w:tc>
        <w:tc>
          <w:tcPr>
            <w:tcW w:type="dxa" w:w="504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8"/>
              </w:rPr>
              <w:t>Use public/general or customer-provided licensed criteria only.</w:t>
            </w:r>
          </w:p>
        </w:tc>
      </w:tr>
    </w:tbl>
    <w:p>
      <w:pPr>
        <w:pStyle w:val="Heading1"/>
      </w:pPr>
      <w:r>
        <w:t>7. Compliance posture</w:t>
      </w:r>
    </w:p>
    <w:p>
      <w:r>
        <w:t>The demo must use synthetic or de-identified data. Production use with PHI requires BAAs, risk analysis, access controls, audit logging, encryption, retention policies, and PHI-safe vendor settings.</w:t>
      </w:r>
    </w:p>
    <w:p>
      <w:pPr>
        <w:pStyle w:val="ListBullet"/>
      </w:pPr>
      <w:r>
        <w:t>BAA with hosting/storage/OCR/LLM/logging vendors before live PHI.</w:t>
      </w:r>
    </w:p>
    <w:p>
      <w:pPr>
        <w:pStyle w:val="ListBullet"/>
      </w:pPr>
      <w:r>
        <w:t>No PHI in application logs, analytics, prompts cache, or error monitoring.</w:t>
      </w:r>
    </w:p>
    <w:p>
      <w:pPr>
        <w:pStyle w:val="ListBullet"/>
      </w:pPr>
      <w:r>
        <w:t>Organization/facility scoped RBAC.</w:t>
      </w:r>
    </w:p>
    <w:p>
      <w:pPr>
        <w:pStyle w:val="ListBullet"/>
      </w:pPr>
      <w:r>
        <w:t>Audit every PHI-related action.</w:t>
      </w:r>
    </w:p>
    <w:p>
      <w:pPr>
        <w:pStyle w:val="ListBullet"/>
      </w:pPr>
      <w:r>
        <w:t>Human approval before packet export/submission.</w:t>
      </w:r>
    </w:p>
    <w:p>
      <w:pPr>
        <w:pStyle w:val="ListBullet"/>
      </w:pPr>
      <w:r>
        <w:t>Data retention and deletion controls.</w:t>
      </w:r>
    </w:p>
    <w:p>
      <w:pPr>
        <w:pStyle w:val="Heading1"/>
      </w:pPr>
      <w:r>
        <w:t>8. Codex tokenmax plan</w:t>
      </w:r>
    </w:p>
    <w:p>
      <w:r>
        <w:t>The Codex kit is built to prevent a shallow 14-minute scaffold. It forces a living progress file, repeated checks, polish passes, tests, and end-to-end demo flow.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D1B2A"/>
          </w:tcPr>
          <w:p>
            <w:r>
              <w:rPr>
                <w:color w:val="FFFFFF"/>
              </w:rPr>
              <w:t>Prompt</w:t>
            </w:r>
          </w:p>
        </w:tc>
        <w:tc>
          <w:tcPr>
            <w:tcW w:type="dxa" w:w="3360"/>
            <w:shd w:fill="0D1B2A"/>
          </w:tcPr>
          <w:p>
            <w:r>
              <w:rPr>
                <w:color w:val="FFFFFF"/>
              </w:rPr>
              <w:t>Use</w:t>
            </w:r>
          </w:p>
        </w:tc>
        <w:tc>
          <w:tcPr>
            <w:tcW w:type="dxa" w:w="3360"/>
            <w:shd w:fill="0D1B2A"/>
          </w:tcPr>
          <w:p>
            <w:r>
              <w:rPr>
                <w:color w:val="FFFFFF"/>
              </w:rPr>
              <w:t>Goal</w:t>
            </w:r>
          </w:p>
        </w:tc>
      </w:tr>
      <w:tr>
        <w:tc>
          <w:tcPr>
            <w:tcW w:type="dxa" w:w="336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MASTER_TOKENMAX_PROMPT.md</w:t>
            </w:r>
          </w:p>
        </w:tc>
        <w:tc>
          <w:tcPr>
            <w:tcW w:type="dxa" w:w="336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System source of truth.</w:t>
            </w:r>
          </w:p>
        </w:tc>
        <w:tc>
          <w:tcPr>
            <w:tcW w:type="dxa" w:w="336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Keep Codex aligned with product/design/safety.</w:t>
            </w:r>
          </w:p>
        </w:tc>
      </w:tr>
      <w:tr>
        <w:tc>
          <w:tcPr>
            <w:tcW w:type="dxa" w:w="336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SPRINT_00_COMBINED_ULTRA.md</w:t>
            </w:r>
          </w:p>
        </w:tc>
        <w:tc>
          <w:tcPr>
            <w:tcW w:type="dxa" w:w="336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One aggressive run.</w:t>
            </w:r>
          </w:p>
        </w:tc>
        <w:tc>
          <w:tcPr>
            <w:tcW w:type="dxa" w:w="336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Build foundation through polish and tests.</w:t>
            </w:r>
          </w:p>
        </w:tc>
      </w:tr>
      <w:tr>
        <w:tc>
          <w:tcPr>
            <w:tcW w:type="dxa" w:w="336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SPRINT_01-06</w:t>
            </w:r>
          </w:p>
        </w:tc>
        <w:tc>
          <w:tcPr>
            <w:tcW w:type="dxa" w:w="336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Controlled phases.</w:t>
            </w:r>
          </w:p>
        </w:tc>
        <w:tc>
          <w:tcPr>
            <w:tcW w:type="dxa" w:w="336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Recover if combined sprint stops early.</w:t>
            </w:r>
          </w:p>
        </w:tc>
      </w:tr>
      <w:tr>
        <w:tc>
          <w:tcPr>
            <w:tcW w:type="dxa" w:w="336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CONTINUE_PROMPT.md</w:t>
            </w:r>
          </w:p>
        </w:tc>
        <w:tc>
          <w:tcPr>
            <w:tcW w:type="dxa" w:w="336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Resume.</w:t>
            </w:r>
          </w:p>
        </w:tc>
        <w:tc>
          <w:tcPr>
            <w:tcW w:type="dxa" w:w="336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Continue from progress log without repeating.</w:t>
            </w:r>
          </w:p>
        </w:tc>
      </w:tr>
      <w:tr>
        <w:tc>
          <w:tcPr>
            <w:tcW w:type="dxa" w:w="336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REVIEW_POLISH_PROMPT.md</w:t>
            </w:r>
          </w:p>
        </w:tc>
        <w:tc>
          <w:tcPr>
            <w:tcW w:type="dxa" w:w="336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Quality pass.</w:t>
            </w:r>
          </w:p>
        </w:tc>
        <w:tc>
          <w:tcPr>
            <w:tcW w:type="dxa" w:w="3360"/>
            <w:tcBorders>
              <w:top w:val="single" w:sz="6" w:space="0" w:color="DCE5EA"/>
              <w:left w:val="single" w:sz="6" w:space="0" w:color="DCE5EA"/>
              <w:bottom w:val="single" w:sz="6" w:space="0" w:color="DCE5EA"/>
              <w:right w:val="single" w:sz="6" w:space="0" w:color="DCE5EA"/>
            </w:tcBorders>
          </w:tcPr>
          <w:p>
            <w:r>
              <w:rPr>
                <w:sz w:val="17"/>
              </w:rPr>
              <w:t>Stress test UI, buyer value, safety, and tests.</w:t>
            </w:r>
          </w:p>
        </w:tc>
      </w:tr>
    </w:tbl>
    <w:p>
      <w:pPr>
        <w:pStyle w:val="Heading1"/>
      </w:pPr>
      <w:r>
        <w:t>9. GTM and validation</w:t>
      </w:r>
    </w:p>
    <w:p>
      <w:r>
        <w:t>Do not overbuild before validation. The first proof is a de-identified historical packet test with regional post-acute operators.</w:t>
      </w:r>
    </w:p>
    <w:p>
      <w:pPr>
        <w:pStyle w:val="ListBullet"/>
      </w:pPr>
      <w:r>
        <w:t>20 discovery conversations in 14 days.</w:t>
      </w:r>
    </w:p>
    <w:p>
      <w:pPr>
        <w:pStyle w:val="ListBullet"/>
      </w:pPr>
      <w:r>
        <w:t>5 qualified operators with recurring MA denials.</w:t>
      </w:r>
    </w:p>
    <w:p>
      <w:pPr>
        <w:pStyle w:val="ListBullet"/>
      </w:pPr>
      <w:r>
        <w:t>3 de-identified packet tests.</w:t>
      </w:r>
    </w:p>
    <w:p>
      <w:pPr>
        <w:pStyle w:val="ListBullet"/>
      </w:pPr>
      <w:r>
        <w:t>One paid pilot target at $1,500-$3,000 per facility per month.</w:t>
      </w:r>
    </w:p>
    <w:p>
      <w:pPr>
        <w:pStyle w:val="ListBullet"/>
      </w:pPr>
      <w:r>
        <w:t>Pass criteria: recurring denials, painful appeal assembly, appeal wins, budget owner, willingness to pilot.</w:t>
      </w:r>
    </w:p>
    <w:p>
      <w:pPr>
        <w:pStyle w:val="Heading1"/>
      </w:pPr>
      <w:r>
        <w:t>10. Source log</w:t>
      </w:r>
    </w:p>
    <w:p>
      <w:r>
        <w:t>Key sources reviewed for this kit:</w:t>
      </w:r>
    </w:p>
    <w:p>
      <w:pPr>
        <w:pStyle w:val="ListBullet"/>
      </w:pPr>
      <w:r>
        <w:rPr>
          <w:b/>
        </w:rPr>
        <w:t xml:space="preserve">KFF 2026: </w:t>
      </w:r>
      <w:hyperlink r:id="rId11">
        <w:r>
          <w:rPr>
            <w:color w:val="00A88E"/>
            <w:u w:val="single"/>
          </w:rPr>
          <w:t>https://www.kff.org/medicare/medicare-advantage-insurers-made-nearly-53-million-prior-authorization-determinations-in-2024/</w:t>
        </w:r>
      </w:hyperlink>
    </w:p>
    <w:p>
      <w:pPr>
        <w:pStyle w:val="ListBullet"/>
      </w:pPr>
      <w:r>
        <w:rPr>
          <w:b/>
        </w:rPr>
        <w:t xml:space="preserve">HHS OIG SNF MA denials 2026: </w:t>
      </w:r>
      <w:hyperlink r:id="rId12">
        <w:r>
          <w:rPr>
            <w:color w:val="00A88E"/>
            <w:u w:val="single"/>
          </w:rPr>
          <w:t>https://oig.hhs.gov/reports/all/2026/medicare-advantage-organizations-overturned-nearly-all-appealed-prior-authorization-denials-for-skilled-nursing-facility-admission-raising-concerns-about-initial-denials/</w:t>
        </w:r>
      </w:hyperlink>
    </w:p>
    <w:p>
      <w:pPr>
        <w:pStyle w:val="ListBullet"/>
      </w:pPr>
      <w:r>
        <w:rPr>
          <w:b/>
        </w:rPr>
        <w:t xml:space="preserve">CMS CMS-0057-F: </w:t>
      </w:r>
      <w:hyperlink r:id="rId13">
        <w:r>
          <w:rPr>
            <w:color w:val="00A88E"/>
            <w:u w:val="single"/>
          </w:rPr>
          <w:t>https://www.cms.gov/initiatives/burden-reduction/overview/interoperability/policies-regulations/cms-interoperability-prior-authorization-final-rule-cms-0057-f</w:t>
        </w:r>
      </w:hyperlink>
    </w:p>
    <w:p>
      <w:pPr>
        <w:pStyle w:val="ListBullet"/>
      </w:pPr>
      <w:r>
        <w:rPr>
          <w:b/>
        </w:rPr>
        <w:t xml:space="preserve">eCFR 42 CFR 422.568: </w:t>
      </w:r>
      <w:hyperlink r:id="rId14">
        <w:r>
          <w:rPr>
            <w:color w:val="00A88E"/>
            <w:u w:val="single"/>
          </w:rPr>
          <w:t>https://www.ecfr.gov/current/title-42/chapter-IV/subchapter-B/part-422/subpart-M/section-422.568</w:t>
        </w:r>
      </w:hyperlink>
    </w:p>
    <w:p>
      <w:pPr>
        <w:pStyle w:val="ListBullet"/>
      </w:pPr>
      <w:r>
        <w:rPr>
          <w:b/>
        </w:rPr>
        <w:t xml:space="preserve">CMS Part C Reconsideration: </w:t>
      </w:r>
      <w:hyperlink r:id="rId15">
        <w:r>
          <w:rPr>
            <w:color w:val="00A88E"/>
            <w:u w:val="single"/>
          </w:rPr>
          <w:t>https://www.cms.gov/medicare/appeals-grievances/managed-care/reconsideration-advantage-health-plan-part-c</w:t>
        </w:r>
      </w:hyperlink>
    </w:p>
    <w:p>
      <w:pPr>
        <w:pStyle w:val="ListBullet"/>
      </w:pPr>
      <w:r>
        <w:rPr>
          <w:b/>
        </w:rPr>
        <w:t xml:space="preserve">HHS HIPAA Cloud Computing: </w:t>
      </w:r>
      <w:hyperlink r:id="rId16">
        <w:r>
          <w:rPr>
            <w:color w:val="00A88E"/>
            <w:u w:val="single"/>
          </w:rPr>
          <w:t>https://www.hhs.gov/hipaa/for-professionals/special-topics/health-information-technology/cloud-computing/index.html</w:t>
        </w:r>
      </w:hyperlink>
    </w:p>
    <w:p/>
    <w:p>
      <w:r>
        <w:rPr>
          <w:b/>
        </w:rPr>
        <w:t xml:space="preserve">Final caution: </w:t>
      </w:r>
      <w:r>
        <w:t>AppealForge PAC should be sold and built as an evidence assembly workflow, not an autonomous clinical or legal decision system.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08090"/>
        <w:sz w:val="16"/>
      </w:rPr>
      <w:t>Synthetic/demo planning document · human review required before production PHI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08090"/>
        <w:sz w:val="16"/>
      </w:rPr>
      <w:t>AppealForge PAC · Founder/Codex Master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0811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8111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8111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811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08111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kff.org/medicare/medicare-advantage-insurers-made-nearly-53-million-prior-authorization-determinations-in-2024/" TargetMode="External"/><Relationship Id="rId12" Type="http://schemas.openxmlformats.org/officeDocument/2006/relationships/hyperlink" Target="https://oig.hhs.gov/reports/all/2026/medicare-advantage-organizations-overturned-nearly-all-appealed-prior-authorization-denials-for-skilled-nursing-facility-admission-raising-concerns-about-initial-denials/" TargetMode="External"/><Relationship Id="rId13" Type="http://schemas.openxmlformats.org/officeDocument/2006/relationships/hyperlink" Target="https://www.cms.gov/initiatives/burden-reduction/overview/interoperability/policies-regulations/cms-interoperability-prior-authorization-final-rule-cms-0057-f" TargetMode="External"/><Relationship Id="rId14" Type="http://schemas.openxmlformats.org/officeDocument/2006/relationships/hyperlink" Target="https://www.ecfr.gov/current/title-42/chapter-IV/subchapter-B/part-422/subpart-M/section-422.568" TargetMode="External"/><Relationship Id="rId15" Type="http://schemas.openxmlformats.org/officeDocument/2006/relationships/hyperlink" Target="https://www.cms.gov/medicare/appeals-grievances/managed-care/reconsideration-advantage-health-plan-part-c" TargetMode="External"/><Relationship Id="rId16" Type="http://schemas.openxmlformats.org/officeDocument/2006/relationships/hyperlink" Target="https://www.hhs.gov/hipaa/for-professionals/special-topics/health-information-technology/cloud-computing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