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integPRO SEO Refinement &amp; Growth Strategy</w:t>
      </w:r>
    </w:p>
    <w:p>
      <w:r>
        <w:t>Compliance with Confidence</w:t>
      </w:r>
    </w:p>
    <w:p>
      <w:r>
        <w:t>Prepared for: integpro.com.au  |  Revision 2, 20 October 2026  |  Data: Wix Analytics, GA4, Google Search Console (30-day pull taken before this revision), integPRO keyword bank, competitor notes, Marketing Backlog &amp; Plan.</w:t>
      </w:r>
    </w:p>
    <w:p>
      <w:r>
        <w:rPr>
          <w:b/>
        </w:rPr>
        <w:t>Data currency: the analytics figures below come from the original 30-day pull (sitemap last crawled 6 Aug 2026). They predate the October fixes and must be re-pulled before this report is shared outside integPRO.</w:t>
      </w:r>
    </w:p>
    <w:p>
      <w:pPr>
        <w:pStyle w:val="Heading1"/>
      </w:pPr>
      <w:r>
        <w:t>1. Executive Summary</w:t>
      </w:r>
    </w:p>
    <w:p>
      <w:r>
        <w:t>integPRO's SEO problem is precision, not visibility. The site is indexed cleanly and ranks for real search volume, but Search Console showed 10,122 impressions across 1,467 queries producing only 6 clicks (0.059% CTR). The single highest-visibility page (4,131 impressions, position 3.6) was ranking for the wrong meaning of “ISO” entirely. That page has now been retired and the main title/meta issues fixed (see Section 3).</w:t>
      </w:r>
    </w:p>
    <w:p>
      <w:r>
        <w:t>Form submissions: Wix Analytics and GA4 both reported 0 form submissions / conversions. Enquiries are now taken through the LeadConnector booking widget, which neither Wix Forms nor GA4 counts by default, so 0 in those tools does not mean 0 enquiries. No form action is required; enquiries should be measured from LeadConnector.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Sessions (30 days)</w:t>
            </w:r>
          </w:p>
        </w:tc>
        <w:tc>
          <w:tcPr>
            <w:tcW w:type="dxa" w:w="2880"/>
          </w:tcPr>
          <w:p>
            <w:r>
              <w:t>144 (Wix) / 307 (GA4)</w:t>
            </w:r>
          </w:p>
        </w:tc>
        <w:tc>
          <w:tcPr>
            <w:tcW w:type="dxa" w:w="2880"/>
          </w:tcPr>
          <w:p>
            <w:r>
              <w:t>Wix Analytics / GA4</w:t>
            </w:r>
          </w:p>
        </w:tc>
      </w:tr>
      <w:tr>
        <w:tc>
          <w:tcPr>
            <w:tcW w:type="dxa" w:w="2880"/>
          </w:tcPr>
          <w:p>
            <w:r>
              <w:t>Wix form submissions (30 days)</w:t>
            </w:r>
          </w:p>
        </w:tc>
        <w:tc>
          <w:tcPr>
            <w:tcW w:type="dxa" w:w="2880"/>
          </w:tcPr>
          <w:p>
            <w:r>
              <w:t>0 (booking widget not counted)</w:t>
            </w:r>
          </w:p>
        </w:tc>
        <w:tc>
          <w:tcPr>
            <w:tcW w:type="dxa" w:w="2880"/>
          </w:tcPr>
          <w:p>
            <w:r>
              <w:t>Wix Analytics</w:t>
            </w:r>
          </w:p>
        </w:tc>
      </w:tr>
      <w:tr>
        <w:tc>
          <w:tcPr>
            <w:tcW w:type="dxa" w:w="2880"/>
          </w:tcPr>
          <w:p>
            <w:r>
              <w:t>GA4 conversions (30 days)</w:t>
            </w:r>
          </w:p>
        </w:tc>
        <w:tc>
          <w:tcPr>
            <w:tcW w:type="dxa" w:w="2880"/>
          </w:tcPr>
          <w:p>
            <w:r>
              <w:t>0 (booking widget not tracked)</w:t>
            </w:r>
          </w:p>
        </w:tc>
        <w:tc>
          <w:tcPr>
            <w:tcW w:type="dxa" w:w="2880"/>
          </w:tcPr>
          <w:p>
            <w:r>
              <w:t>GA4</w:t>
            </w:r>
          </w:p>
        </w:tc>
      </w:tr>
      <w:tr>
        <w:tc>
          <w:tcPr>
            <w:tcW w:type="dxa" w:w="2880"/>
          </w:tcPr>
          <w:p>
            <w:r>
              <w:t>Search impressions (30 days)</w:t>
            </w:r>
          </w:p>
        </w:tc>
        <w:tc>
          <w:tcPr>
            <w:tcW w:type="dxa" w:w="2880"/>
          </w:tcPr>
          <w:p>
            <w:r>
              <w:t>10,122</w:t>
            </w:r>
          </w:p>
        </w:tc>
        <w:tc>
          <w:tcPr>
            <w:tcW w:type="dxa" w:w="2880"/>
          </w:tcPr>
          <w:p>
            <w:r>
              <w:t>Search Console</w:t>
            </w:r>
          </w:p>
        </w:tc>
      </w:tr>
      <w:tr>
        <w:tc>
          <w:tcPr>
            <w:tcW w:type="dxa" w:w="2880"/>
          </w:tcPr>
          <w:p>
            <w:r>
              <w:t>Search clicks (30 days)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Search Console</w:t>
            </w:r>
          </w:p>
        </w:tc>
      </w:tr>
      <w:tr>
        <w:tc>
          <w:tcPr>
            <w:tcW w:type="dxa" w:w="2880"/>
          </w:tcPr>
          <w:p>
            <w:r>
              <w:t>Overall CTR</w:t>
            </w:r>
          </w:p>
        </w:tc>
        <w:tc>
          <w:tcPr>
            <w:tcW w:type="dxa" w:w="2880"/>
          </w:tcPr>
          <w:p>
            <w:r>
              <w:t>0.059%</w:t>
            </w:r>
          </w:p>
        </w:tc>
        <w:tc>
          <w:tcPr>
            <w:tcW w:type="dxa" w:w="2880"/>
          </w:tcPr>
          <w:p>
            <w:r>
              <w:t>Search Console</w:t>
            </w:r>
          </w:p>
        </w:tc>
      </w:tr>
      <w:tr>
        <w:tc>
          <w:tcPr>
            <w:tcW w:type="dxa" w:w="2880"/>
          </w:tcPr>
          <w:p>
            <w:r>
              <w:t>Queries with any click</w:t>
            </w:r>
          </w:p>
        </w:tc>
        <w:tc>
          <w:tcPr>
            <w:tcW w:type="dxa" w:w="2880"/>
          </w:tcPr>
          <w:p>
            <w:r>
              <w:t>5 of 1,467</w:t>
            </w:r>
          </w:p>
        </w:tc>
        <w:tc>
          <w:tcPr>
            <w:tcW w:type="dxa" w:w="2880"/>
          </w:tcPr>
          <w:p>
            <w:r>
              <w:t>Search Console</w:t>
            </w:r>
          </w:p>
        </w:tc>
      </w:tr>
    </w:tbl>
    <w:p/>
    <w:p>
      <w:pPr>
        <w:pStyle w:val="Heading1"/>
      </w:pPr>
      <w:r>
        <w:t>2. Current State Diagnosis</w:t>
      </w:r>
    </w:p>
    <w:p>
      <w:pPr>
        <w:pStyle w:val="Heading2"/>
      </w:pPr>
      <w:r>
        <w:t>2.1 Traffic &amp; channel mix (GA4, 30 days)</w:t>
      </w:r>
    </w:p>
    <w:p>
      <w:r>
        <w:t>Direct traffic dominates (212 of 307 sessions, 69%). Organic Search (62 sessions, 20%) is the highest-quality channel: 48.4% engagement vs 28.8% for Direct. The constraint is search volume and click-through, not audience quality.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Sessions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Engagement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Bounce rate</w:t>
            </w:r>
          </w:p>
        </w:tc>
      </w:tr>
      <w:tr>
        <w:tc>
          <w:tcPr>
            <w:tcW w:type="dxa" w:w="2160"/>
          </w:tcPr>
          <w:p>
            <w:r>
              <w:t>Direct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28.8%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</w:tr>
      <w:tr>
        <w:tc>
          <w:tcPr>
            <w:tcW w:type="dxa" w:w="2160"/>
          </w:tcPr>
          <w:p>
            <w:r>
              <w:t>Organic Search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51.6%</w:t>
            </w:r>
          </w:p>
        </w:tc>
      </w:tr>
      <w:tr>
        <w:tc>
          <w:tcPr>
            <w:tcW w:type="dxa" w:w="2160"/>
          </w:tcPr>
          <w:p>
            <w:r>
              <w:t>Cross-network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</w:tr>
      <w:tr>
        <w:tc>
          <w:tcPr>
            <w:tcW w:type="dxa" w:w="2160"/>
          </w:tcPr>
          <w:p>
            <w:r>
              <w:t>Referral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Organic Social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</w:tr>
      <w:tr>
        <w:tc>
          <w:tcPr>
            <w:tcW w:type="dxa" w:w="2160"/>
          </w:tcPr>
          <w:p>
            <w:r>
              <w:t>Unassigned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/>
    <w:p>
      <w:pPr>
        <w:pStyle w:val="Heading2"/>
      </w:pPr>
      <w:r>
        <w:t>2.2 Landing pages</w:t>
      </w:r>
    </w:p>
    <w:p>
      <w:pPr>
        <w:pStyle w:val="ListBullet"/>
      </w:pPr>
      <w:r>
        <w:t>Homepage (/) — 114 sessions, 41.2% engagement</w:t>
      </w:r>
    </w:p>
    <w:p>
      <w:pPr>
        <w:pStyle w:val="ListBullet"/>
      </w:pPr>
      <w:r>
        <w:t>/disp — 27 sessions, 59.3% engagement; best-engaging page and strategically the most important</w:t>
      </w:r>
    </w:p>
    <w:p>
      <w:pPr>
        <w:pStyle w:val="ListBullet"/>
      </w:pPr>
      <w:r>
        <w:t>/free-consultation — 9 sessions, 77.8% engagement; booking-intent page works once reached</w:t>
      </w:r>
    </w:p>
    <w:p>
      <w:pPr>
        <w:pStyle w:val="ListBullet"/>
      </w:pPr>
      <w:r>
        <w:t>/iso-disp-services — 9 sessions, 66.7% engagement</w:t>
      </w:r>
    </w:p>
    <w:p>
      <w:pPr>
        <w:pStyle w:val="ListBullet"/>
      </w:pPr>
      <w:r>
        <w:t>Legacy WordPress URLs (/wp-content/uploads/*) with 0% engagement — now return 410 Gone</w:t>
      </w:r>
    </w:p>
    <w:p>
      <w:pPr>
        <w:pStyle w:val="Heading2"/>
      </w:pPr>
      <w:r>
        <w:t>2.3 Search Console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(20 Oct 2026)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/post/understanding-iso-file-in-iso-compliance took 4,131 impressions (41% of total) at position 3.6, 0 clicks, for “.iso disk-image file” searches unrelated to integPRO</w:t>
            </w:r>
          </w:p>
        </w:tc>
        <w:tc>
          <w:tcPr>
            <w:tcW w:type="dxa" w:w="2880"/>
          </w:tcPr>
          <w:p>
            <w:r>
              <w:t>Fixed: post no longer exists; URL returns 410 Gone so Google drops it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ISO 27001 page was at /so-27001-… (missing “i”): 307 impressions, position 68.3</w:t>
            </w:r>
          </w:p>
        </w:tc>
        <w:tc>
          <w:tcPr>
            <w:tcW w:type="dxa" w:w="2880"/>
          </w:tcPr>
          <w:p>
            <w:r>
              <w:t>Fixed: 301 redirect to /iso-27001-information-security-management-system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High-impression pages with 0 clicks (table below)</w:t>
            </w:r>
          </w:p>
        </w:tc>
        <w:tc>
          <w:tcPr>
            <w:tcW w:type="dxa" w:w="2880"/>
          </w:tcPr>
          <w:p>
            <w:r>
              <w:t>Fixed: titles/meta rewritten (Section 3)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UTM-tagged URL of the Sydney consulting post indexed separately (441 impressions)</w:t>
            </w:r>
          </w:p>
        </w:tc>
        <w:tc>
          <w:tcPr>
            <w:tcW w:type="dxa" w:w="2880"/>
          </w:tcPr>
          <w:p>
            <w:r>
              <w:t>No change needed: canonical tag already strips query strings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Technical foundation solid: sitemap clean, robots.txt correct, proper 404s, llms.txt live</w:t>
            </w:r>
          </w:p>
        </w:tc>
        <w:tc>
          <w:tcPr>
            <w:tcW w:type="dxa" w:w="2880"/>
          </w:tcPr>
          <w:p>
            <w:r>
              <w:t>Confirmed in original pull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Clicks</w:t>
            </w:r>
          </w:p>
        </w:tc>
      </w:tr>
      <w:tr>
        <w:tc>
          <w:tcPr>
            <w:tcW w:type="dxa" w:w="2160"/>
          </w:tcPr>
          <w:p>
            <w:r>
              <w:t>/post/why-iso-consultants-in-sydney-are-essential…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/post/how-to-get-iso-certification-in-australia</w:t>
            </w:r>
          </w:p>
        </w:tc>
        <w:tc>
          <w:tcPr>
            <w:tcW w:type="dxa" w:w="2160"/>
          </w:tcPr>
          <w:p>
            <w:r>
              <w:t>2,067</w:t>
            </w:r>
          </w:p>
        </w:tc>
        <w:tc>
          <w:tcPr>
            <w:tcW w:type="dxa" w:w="2160"/>
          </w:tcPr>
          <w:p>
            <w:r>
              <w:t>37.9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/post/iso-27001-cost-australia-understanding-…</w:t>
            </w:r>
          </w:p>
        </w:tc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40.6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/disp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58.5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/post/get-disp-accreditation-win-defence-contracts…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71.4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1"/>
      </w:pPr>
      <w:r>
        <w:t>3. Priority Fix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Retire the off-topic “ISO file” post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Done — 410 Gone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301 redirect the mistyped ISO 27001 URL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Conversion path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 action: LeadConnector booking widget accepted by owner. Measure enquiries in LeadConnector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Rewrite titles/meta on zero-click pages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Done (see table below)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Canonicalise the UTM-tagged Sydney post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Already handled by canonical tag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Internal links and supporting cluster into /disp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Retire WordPress-era URLs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Done — /wp-content/* returns 410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Deploy the 200-keyword plan (Section 4)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SEO 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meta description (summary)</w:t>
            </w:r>
          </w:p>
        </w:tc>
      </w:tr>
      <w:tr>
        <w:tc>
          <w:tcPr>
            <w:tcW w:type="dxa" w:w="2880"/>
          </w:tcPr>
          <w:p>
            <w:r>
              <w:t>/disp</w:t>
            </w:r>
          </w:p>
        </w:tc>
        <w:tc>
          <w:tcPr>
            <w:tcW w:type="dxa" w:w="2880"/>
          </w:tcPr>
          <w:p>
            <w:r>
              <w:t>DISP Membership &amp; Compliance for Defence Suppliers | integPRO</w:t>
            </w:r>
          </w:p>
        </w:tc>
        <w:tc>
          <w:tcPr>
            <w:tcW w:type="dxa" w:w="2880"/>
          </w:tcPr>
          <w:p>
            <w:r>
              <w:t>Eligibility, Entry Level to Level 3, DISP + ISO 27001 integration</w:t>
            </w:r>
          </w:p>
        </w:tc>
      </w:tr>
      <w:tr>
        <w:tc>
          <w:tcPr>
            <w:tcW w:type="dxa" w:w="2880"/>
          </w:tcPr>
          <w:p>
            <w:r>
              <w:t>DISP accreditation post</w:t>
            </w:r>
          </w:p>
        </w:tc>
        <w:tc>
          <w:tcPr>
            <w:tcW w:type="dxa" w:w="2880"/>
          </w:tcPr>
          <w:p>
            <w:r>
              <w:t>How to Get DISP Accreditation in Australia | integPRO</w:t>
            </w:r>
          </w:p>
        </w:tc>
        <w:tc>
          <w:tcPr>
            <w:tcW w:type="dxa" w:w="2880"/>
          </w:tcPr>
          <w:p>
            <w:r>
              <w:t>What DISP membership involves, steps to Entry Level</w:t>
            </w:r>
          </w:p>
        </w:tc>
      </w:tr>
      <w:tr>
        <w:tc>
          <w:tcPr>
            <w:tcW w:type="dxa" w:w="2880"/>
          </w:tcPr>
          <w:p>
            <w:r>
              <w:t>Sydney consultants post</w:t>
            </w:r>
          </w:p>
        </w:tc>
        <w:tc>
          <w:tcPr>
            <w:tcW w:type="dxa" w:w="2880"/>
          </w:tcPr>
          <w:p>
            <w:r>
              <w:t>ISO Consultants Sydney: Why Businesses Use Them | integPRO</w:t>
            </w:r>
          </w:p>
        </w:tc>
        <w:tc>
          <w:tcPr>
            <w:tcW w:type="dxa" w:w="2880"/>
          </w:tcPr>
          <w:p>
            <w:r>
              <w:t>How a consultant speeds ISO 9001/14001/45001/27001 certification</w:t>
            </w:r>
          </w:p>
        </w:tc>
      </w:tr>
      <w:tr>
        <w:tc>
          <w:tcPr>
            <w:tcW w:type="dxa" w:w="2880"/>
          </w:tcPr>
          <w:p>
            <w:r>
              <w:t>ISO 27001 cost post</w:t>
            </w:r>
          </w:p>
        </w:tc>
        <w:tc>
          <w:tcPr>
            <w:tcW w:type="dxa" w:w="2880"/>
          </w:tcPr>
          <w:p>
            <w:r>
              <w:t>ISO 27001 Certification Cost in Australia | integPRO</w:t>
            </w:r>
          </w:p>
        </w:tc>
        <w:tc>
          <w:tcPr>
            <w:tcW w:type="dxa" w:w="2880"/>
          </w:tcPr>
          <w:p>
            <w:r>
              <w:t>Cost drivers; removed unsupported “ROI calculator” claim</w:t>
            </w:r>
          </w:p>
        </w:tc>
      </w:tr>
      <w:tr>
        <w:tc>
          <w:tcPr>
            <w:tcW w:type="dxa" w:w="2880"/>
          </w:tcPr>
          <w:p>
            <w:r>
              <w:t>How to get ISO certification post</w:t>
            </w:r>
          </w:p>
        </w:tc>
        <w:tc>
          <w:tcPr>
            <w:tcW w:type="dxa" w:w="2880"/>
          </w:tcPr>
          <w:p>
            <w:r>
              <w:t>How to Get ISO Certification in Australia (Step by Step)</w:t>
            </w:r>
          </w:p>
        </w:tc>
        <w:tc>
          <w:tcPr>
            <w:tcW w:type="dxa" w:w="2880"/>
          </w:tcPr>
          <w:p>
            <w:r>
              <w:t>Steps from standard selection to certification audit</w:t>
            </w:r>
          </w:p>
        </w:tc>
      </w:tr>
      <w:tr>
        <w:tc>
          <w:tcPr>
            <w:tcW w:type="dxa" w:w="2880"/>
          </w:tcPr>
          <w:p>
            <w:r>
              <w:t>Sydney ISO consulting post</w:t>
            </w:r>
          </w:p>
        </w:tc>
        <w:tc>
          <w:tcPr>
            <w:tcW w:type="dxa" w:w="2880"/>
          </w:tcPr>
          <w:p>
            <w:r>
              <w:t>ISO Consulting Services in Sydney | integPRO</w:t>
            </w:r>
          </w:p>
        </w:tc>
        <w:tc>
          <w:tcPr>
            <w:tcW w:type="dxa" w:w="2880"/>
          </w:tcPr>
          <w:p>
            <w:r>
              <w:t>Industries and standards covered</w:t>
            </w:r>
          </w:p>
        </w:tc>
      </w:tr>
    </w:tbl>
    <w:p/>
    <w:p>
      <w:r>
        <w:t>Note: /disp previously described DISP as a “certification”. DISP is a Defence membership program, not a certification; wording corrected. Position change from these rewrites should be measured 4–6 weeks after Google recrawls.</w:t>
      </w:r>
    </w:p>
    <w:p>
      <w:pPr>
        <w:pStyle w:val="Heading1"/>
      </w:pPr>
      <w:r>
        <w:t>4. Keyword Strategy — 200 Phrases</w:t>
      </w:r>
    </w:p>
    <w:p>
      <w:r>
        <w:t>The 200-keyword list (Core ISO, ISO 9001/14001/45001/27001/13485, DISP, Integration, Location, Industry vertical, Informational/FAQ) is held in the companion Keyword Analysis document, which must be attached before this report is circulated. Refinements from Search Console:</w:t>
      </w:r>
    </w:p>
    <w:p>
      <w:pPr>
        <w:pStyle w:val="ListBullet"/>
      </w:pPr>
      <w:r>
        <w:t>Protect “implementation of iso sydney” (position 3.4, 370 impressions) — title/meta only, no new content.</w:t>
      </w:r>
    </w:p>
    <w:p>
      <w:pPr>
        <w:pStyle w:val="ListBullet"/>
      </w:pPr>
      <w:r>
        <w:t>Do not target “.iso file” or generic standard-lookup queries (ISO 8601, 22400, 14971, 216) — no commercial intent.</w:t>
      </w:r>
    </w:p>
    <w:p>
      <w:pPr>
        <w:pStyle w:val="Heading1"/>
      </w:pPr>
      <w:r>
        <w:t>5. Competitors to Track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Domains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gccertification.com (primary benchmark); eqas.com.au; isoconsultingmasters.com.au; jlb.com.au; bsigroup.com/en-AU; tqcsi.com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isocertificationexperts.com.au; isoconsultingservices.com.au; lrqa.com/en-au; sheqmanagement.com.au; atlascertification.com.au; mscertification.com.au; sjauditingandconsulting.com.au; iso-certificationaustralia.com.au</w:t>
            </w:r>
          </w:p>
        </w:tc>
      </w:tr>
    </w:tbl>
    <w:p/>
    <w:p>
      <w:pPr>
        <w:pStyle w:val="Heading1"/>
      </w:pPr>
      <w:r>
        <w:t>6. Content Gap Analysis</w:t>
      </w:r>
    </w:p>
    <w:p>
      <w:pPr>
        <w:pStyle w:val="ListBullet"/>
      </w:pPr>
      <w:r>
        <w:t>DISP is the least-contested space; /disp needs authority and internal links, not more content.</w:t>
      </w:r>
    </w:p>
    <w:p>
      <w:pPr>
        <w:pStyle w:val="ListBullet"/>
      </w:pPr>
      <w:r>
        <w:t>No dedicated pages yet for the five target industries: construction, defence, mining, rail, medical device manufacturing.</w:t>
      </w:r>
    </w:p>
    <w:p>
      <w:pPr>
        <w:pStyle w:val="ListBullet"/>
      </w:pPr>
      <w:r>
        <w:t>FAQ/informational keywords (Informational/FAQ category of the Keyword Analysis) are largely untapped and are the easiest content for AI answer engines to cite.</w:t>
      </w:r>
    </w:p>
    <w:p>
      <w:pPr>
        <w:pStyle w:val="ListBullet"/>
      </w:pPr>
      <w:r>
        <w:t>Off-topic posts (e.g. renewable energy standards) should be audited for relevance.</w:t>
      </w:r>
    </w:p>
    <w:p>
      <w:pPr>
        <w:pStyle w:val="ListBullet"/>
      </w:pPr>
      <w:r>
        <w:t>No case studies yet; publish only with real, consented client data.</w:t>
      </w:r>
    </w:p>
    <w:p>
      <w:pPr>
        <w:pStyle w:val="Heading1"/>
      </w:pPr>
      <w:r>
        <w:t>7. Competitor SEO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GTmetrix grade*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Opportunity for integPRO</w:t>
            </w:r>
          </w:p>
        </w:tc>
      </w:tr>
      <w:tr>
        <w:tc>
          <w:tcPr>
            <w:tcW w:type="dxa" w:w="2160"/>
          </w:tcPr>
          <w:p>
            <w:r>
              <w:t>GCC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Content &amp; social strategy</w:t>
            </w:r>
          </w:p>
        </w:tc>
        <w:tc>
          <w:tcPr>
            <w:tcW w:type="dxa" w:w="2160"/>
          </w:tcPr>
          <w:p>
            <w:r>
              <w:t>No visible DISP integration</w:t>
            </w:r>
          </w:p>
        </w:tc>
      </w:tr>
      <w:tr>
        <w:tc>
          <w:tcPr>
            <w:tcW w:type="dxa" w:w="2160"/>
          </w:tcPr>
          <w:p>
            <w:r>
              <w:t>EQAS / ISO Consulting Masters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Fast technical performance</w:t>
            </w:r>
          </w:p>
        </w:tc>
        <w:tc>
          <w:tcPr>
            <w:tcW w:type="dxa" w:w="2160"/>
          </w:tcPr>
          <w:p>
            <w:r>
              <w:t>Little differentiation beyond speed</w:t>
            </w:r>
          </w:p>
        </w:tc>
      </w:tr>
      <w:tr>
        <w:tc>
          <w:tcPr>
            <w:tcW w:type="dxa" w:w="2160"/>
          </w:tcPr>
          <w:p>
            <w:r>
              <w:t>BSI / LRQA / TQCSI</w:t>
            </w:r>
          </w:p>
        </w:tc>
        <w:tc>
          <w:tcPr>
            <w:tcW w:type="dxa" w:w="2160"/>
          </w:tcPr>
          <w:p>
            <w:r>
              <w:t>B/C</w:t>
            </w:r>
          </w:p>
        </w:tc>
        <w:tc>
          <w:tcPr>
            <w:tcW w:type="dxa" w:w="2160"/>
          </w:tcPr>
          <w:p>
            <w:r>
              <w:t>International trust, scale</w:t>
            </w:r>
          </w:p>
        </w:tc>
        <w:tc>
          <w:tcPr>
            <w:tcW w:type="dxa" w:w="2160"/>
          </w:tcPr>
          <w:p>
            <w:r>
              <w:t>Slower; no DISP niche focus</w:t>
            </w:r>
          </w:p>
        </w:tc>
      </w:tr>
      <w:tr>
        <w:tc>
          <w:tcPr>
            <w:tcW w:type="dxa" w:w="2160"/>
          </w:tcPr>
          <w:p>
            <w:r>
              <w:t>Long tail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Local presence</w:t>
            </w:r>
          </w:p>
        </w:tc>
        <w:tc>
          <w:tcPr>
            <w:tcW w:type="dxa" w:w="2160"/>
          </w:tcPr>
          <w:p>
            <w:r>
              <w:t>Fragmented field</w:t>
            </w:r>
          </w:p>
        </w:tc>
      </w:tr>
    </w:tbl>
    <w:p/>
    <w:p>
      <w:r>
        <w:t>*Grades are from the earlier competitor observation sheet and are undated; re-test before external use.</w:t>
      </w:r>
    </w:p>
    <w:p>
      <w:pPr>
        <w:pStyle w:val="Heading1"/>
      </w:pPr>
      <w:r>
        <w:t>8. 90-Day Plan (PRACE)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Goals: lift /disp out of position 50+; publish all 5 industry-vertical pages; first tracked enquiries from organic search</w:t>
            </w:r>
          </w:p>
        </w:tc>
      </w:tr>
      <w:tr>
        <w:tc>
          <w:tcPr>
            <w:tcW w:type="dxa" w:w="4320"/>
          </w:tcPr>
          <w:p>
            <w:r>
              <w:t>Reach</w:t>
            </w:r>
          </w:p>
        </w:tc>
        <w:tc>
          <w:tcPr>
            <w:tcW w:type="dxa" w:w="4320"/>
          </w:tcPr>
          <w:p>
            <w:r>
              <w:t>Deploy the refined keyword set; keep the 3x/week blog cadence, prioritising DISP and industry topics</w:t>
            </w:r>
          </w:p>
        </w:tc>
      </w:tr>
      <w:tr>
        <w:tc>
          <w:tcPr>
            <w:tcW w:type="dxa" w:w="4320"/>
          </w:tcPr>
          <w:p>
            <w:r>
              <w:t>Act</w:t>
            </w:r>
          </w:p>
        </w:tc>
        <w:tc>
          <w:tcPr>
            <w:tcW w:type="dxa" w:w="4320"/>
          </w:tcPr>
          <w:p>
            <w:r>
              <w:t>Internal links from high-impression posts into /disp and /free-consultation; publish industry pages</w:t>
            </w:r>
          </w:p>
        </w:tc>
      </w:tr>
      <w:tr>
        <w:tc>
          <w:tcPr>
            <w:tcW w:type="dxa" w:w="4320"/>
          </w:tcPr>
          <w:p>
            <w:r>
              <w:t>Convert</w:t>
            </w:r>
          </w:p>
        </w:tc>
        <w:tc>
          <w:tcPr>
            <w:tcW w:type="dxa" w:w="4320"/>
          </w:tcPr>
          <w:p>
            <w:r>
              <w:t>Consistent CTAs: Book a Free Consultation, Request a Gap Analysis, Talk to an ISO Expert, Discuss Your DISP Requirements; track LeadConnector bookings by source</w:t>
            </w:r>
          </w:p>
        </w:tc>
      </w:tr>
      <w:tr>
        <w:tc>
          <w:tcPr>
            <w:tcW w:type="dxa" w:w="4320"/>
          </w:tcPr>
          <w:p>
            <w:r>
              <w:t>Engage</w:t>
            </w:r>
          </w:p>
        </w:tc>
        <w:tc>
          <w:tcPr>
            <w:tcW w:type="dxa" w:w="4320"/>
          </w:tcPr>
          <w:p>
            <w:r>
              <w:t>Nurture sequence for visitors who do not book; real case studies; quarterly Search Console check for topic drift</w:t>
            </w:r>
          </w:p>
        </w:tc>
      </w:tr>
    </w:tbl>
    <w:p/>
    <w:p>
      <w:pPr>
        <w:pStyle w:val="Heading1"/>
      </w:pPr>
      <w:r>
        <w:t>9. Enquiry Measurement</w:t>
      </w:r>
    </w:p>
    <w:p>
      <w:pPr>
        <w:pStyle w:val="ListBullet"/>
      </w:pPr>
      <w:r>
        <w:t>Enquiries come through the LeadConnector booking widget (owner-accepted; no form changes).</w:t>
      </w:r>
    </w:p>
    <w:p>
      <w:pPr>
        <w:pStyle w:val="ListBullet"/>
      </w:pPr>
      <w:r>
        <w:t>Report enquiries from LeadConnector, not Wix Forms or GA4, and record source (organic, direct, referral) where available.</w:t>
      </w:r>
    </w:p>
    <w:p>
      <w:pPr>
        <w:pStyle w:val="ListBullet"/>
      </w:pPr>
      <w:r>
        <w:t>Optional: send a GA4 event on booking completion so organic conversions appear in GA4.</w:t>
      </w:r>
    </w:p>
    <w:p>
      <w:pPr>
        <w:pStyle w:val="ListBullet"/>
      </w:pPr>
      <w:r>
        <w:t>Lead magnet (e.g. ISO 9001 Readiness Checklist, DISP Entry Level Guide) as a lower-friction first step, per Marketing Backlog.</w:t>
      </w:r>
    </w:p>
    <w:p>
      <w:pPr>
        <w:pStyle w:val="Heading1"/>
      </w:pPr>
      <w:r>
        <w:t>10. AEO / GEO Enablement</w:t>
      </w:r>
    </w:p>
    <w:p>
      <w:pPr>
        <w:pStyle w:val="ListBullet"/>
      </w:pPr>
      <w:r>
        <w:t>llms.txt and MCP endpoint already live — ahead of competitors.</w:t>
      </w:r>
    </w:p>
    <w:p>
      <w:pPr>
        <w:pStyle w:val="ListBullet"/>
      </w:pPr>
      <w:r>
        <w:t>Publish FAQ/informational content in directly answerable form.</w:t>
      </w:r>
    </w:p>
    <w:p>
      <w:pPr>
        <w:pStyle w:val="ListBullet"/>
      </w:pPr>
      <w:r>
        <w:t>State integPRO expertise explicitly on every page.</w:t>
      </w:r>
    </w:p>
    <w:p>
      <w:pPr>
        <w:pStyle w:val="ListBullet"/>
      </w:pPr>
      <w:r>
        <w:t>Track AI-engine citations in Semrush once API access is restored.</w:t>
      </w:r>
    </w:p>
    <w:p>
      <w:pPr>
        <w:pStyle w:val="Heading1"/>
      </w:pPr>
      <w:r>
        <w:t>11. Recurring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4320"/>
          </w:tcPr>
          <w:p>
            <w:r>
              <w:t>Daily</w:t>
            </w:r>
          </w:p>
        </w:tc>
        <w:tc>
          <w:tcPr>
            <w:tcW w:type="dxa" w:w="4320"/>
          </w:tcPr>
          <w:p>
            <w:r>
              <w:t>Spot-check new posts’ ranking queries after 48 hours for topic drift; check LeadConnector bookings; publish scheduled posts (Mon/Wed/Fri)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Search Console: new zero-click, high-impression pages; /disp position trend; GA4 channel mix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Re-pull Wix/GA4/Search Console against Section 3; competitor check; audit for new legacy URLs; confirm 410/301 URLs have dropped out of the index</w:t>
            </w:r>
          </w:p>
        </w:tc>
      </w:tr>
    </w:tbl>
    <w:p/>
    <w:p>
      <w:pPr>
        <w:pStyle w:val="Heading1"/>
      </w:pPr>
      <w:r>
        <w:t>12. Tooling Note</w:t>
      </w:r>
    </w:p>
    <w:p>
      <w:r>
        <w:t>Built from Wix REST API, GA4 and Search Console (via Windsor.ai). Semrush returned an API-units error; once restored, load Sections 4, 5 and 10 into a Semrush project for automated tracking.</w:t>
      </w:r>
    </w:p>
    <w:p>
      <w:pPr>
        <w:pStyle w:val="Heading1"/>
      </w:pPr>
      <w:r>
        <w:t>Change log (Revision 2)</w:t>
      </w:r>
    </w:p>
    <w:p>
      <w:pPr>
        <w:pStyle w:val="ListBullet"/>
      </w:pPr>
      <w:r>
        <w:t>Corrected session figures (summary said 120–307; source table says 144/307).</w:t>
      </w:r>
    </w:p>
    <w:p>
      <w:pPr>
        <w:pStyle w:val="ListBullet"/>
      </w:pPr>
      <w:r>
        <w:t>Corrected cross-references (keyword plan is Section 4; “Section K” replaced by the category name).</w:t>
      </w:r>
    </w:p>
    <w:p>
      <w:pPr>
        <w:pStyle w:val="ListBullet"/>
      </w:pPr>
      <w:r>
        <w:t>Aligned 90-day goal to 5 industry pages (was 3 vs 5) and removed the “5 of 8 priority items” mismatch.</w:t>
      </w:r>
    </w:p>
    <w:p>
      <w:pPr>
        <w:pStyle w:val="ListBullet"/>
      </w:pPr>
      <w:r>
        <w:t>Recast the 0-submission finding: enquiries run through LeadConnector, not Wix Forms.</w:t>
      </w:r>
    </w:p>
    <w:p>
      <w:pPr>
        <w:pStyle w:val="ListBullet"/>
      </w:pPr>
      <w:r>
        <w:t>Added status of each fix; “informationed” typo fixed; data-currency and competitor-grade caveats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