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83706" cy="1814375"/>
            <wp:effectExtent b="0" l="0" r="0" t="0"/>
            <wp:docPr descr="Placeholder graphic" id="3" name="image3.png"/>
            <a:graphic>
              <a:graphicData uri="http://schemas.openxmlformats.org/drawingml/2006/picture">
                <pic:pic>
                  <pic:nvPicPr>
                    <pic:cNvPr descr="Placeholder graphic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706" cy="18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1 Watt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  <w:t xml:space="preserve">products for accessible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Thank you for your purchase.  Be sure to check our direct outlet site for the latest products at the lowest prices.</w:t>
      </w:r>
    </w:p>
    <w:p w:rsidR="00000000" w:rsidDel="00000000" w:rsidP="00000000" w:rsidRDefault="00000000" w:rsidRPr="00000000" w14:paraId="00000005">
      <w:pPr>
        <w:pStyle w:val="Heading2"/>
        <w:pageBreakBefore w:val="0"/>
        <w:jc w:val="center"/>
        <w:rPr/>
      </w:pPr>
      <w:bookmarkStart w:colFirst="0" w:colLast="0" w:name="_9exfojveu3an" w:id="1"/>
      <w:bookmarkEnd w:id="1"/>
      <w:r w:rsidDel="00000000" w:rsidR="00000000" w:rsidRPr="00000000">
        <w:rPr>
          <w:rtl w:val="0"/>
        </w:rPr>
        <w:t xml:space="preserve">1wattlabs.com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pageBreakBefore w:val="0"/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