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/>
      </w:pPr>
      <w:r/>
    </w:p>
    <w:p>
      <w:pPr>
        <w:spacing w:after="80"/>
      </w:pPr>
      <w:r>
        <w:rPr>
          <w:rFonts w:ascii="Calibri" w:hAnsi="Calibri"/>
          <w:b/>
          <w:i w:val="0"/>
          <w:color w:val="E86C00"/>
          <w:sz w:val="12"/>
        </w:rPr>
        <w:t>____________________________________________________________</w:t>
      </w:r>
    </w:p>
    <w:p>
      <w:pPr>
        <w:spacing w:after="240"/>
      </w:pPr>
      <w:r>
        <w:rPr>
          <w:rFonts w:ascii="Calibri" w:hAnsi="Calibri"/>
          <w:b/>
          <w:i w:val="0"/>
          <w:color w:val="0B2A4A"/>
          <w:sz w:val="28"/>
        </w:rPr>
        <w:t>INTEGRAL DRAGON</w:t>
      </w:r>
    </w:p>
    <w:p>
      <w:pPr>
        <w:spacing w:after="200"/>
      </w:pPr>
      <w:r>
        <w:rPr>
          <w:rFonts w:ascii="Calibri" w:hAnsi="Calibri"/>
          <w:b/>
          <w:i w:val="0"/>
          <w:color w:val="0B2A4A"/>
          <w:sz w:val="56"/>
        </w:rPr>
        <w:t>Applied Practice Alignment Update</w:t>
      </w:r>
    </w:p>
    <w:p>
      <w:pPr>
        <w:spacing w:after="480"/>
      </w:pPr>
      <w:r>
        <w:rPr>
          <w:rFonts w:ascii="Calibri" w:hAnsi="Calibri"/>
          <w:b w:val="0"/>
          <w:i w:val="0"/>
          <w:color w:val="1A73E8"/>
          <w:sz w:val="28"/>
        </w:rPr>
        <w:t>Leadership alignment update · Ensemble Health Partners</w:t>
      </w:r>
    </w:p>
    <w:p>
      <w:pPr>
        <w:spacing w:after="120"/>
      </w:pPr>
      <w:r>
        <w:rPr>
          <w:rFonts w:ascii="Calibri" w:hAnsi="Calibri"/>
          <w:b/>
          <w:i w:val="0"/>
          <w:color w:val="E86C00"/>
          <w:sz w:val="12"/>
        </w:rPr>
        <w:t>____________________________________________________________</w:t>
      </w:r>
    </w:p>
    <w:p>
      <w:pPr>
        <w:spacing w:after="240"/>
      </w:pPr>
      <w:r>
        <w:rPr>
          <w:rFonts w:ascii="Calibri" w:hAnsi="Calibri"/>
          <w:b w:val="0"/>
          <w:i/>
          <w:color w:val="666666"/>
          <w:sz w:val="20"/>
        </w:rPr>
        <w:t>Prepared by Integral Dragon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Leadership alignment update · Ensemble Health Partners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Foundations complete. Applied Practice expanded from one week to four — and the first of those four is now in hand.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Justin Schmidt · Integral Dragon · 24 April 2026</w:t>
      </w:r>
    </w:p>
    <w:p>
      <w:pPr>
        <w:spacing w:before="160" w:after="160"/>
        <w:jc w:val="left"/>
      </w:pPr>
      <w:r>
        <w:rPr>
          <w:rFonts w:ascii="Calibri" w:hAnsi="Calibri"/>
          <w:b/>
          <w:i w:val="0"/>
          <w:color w:val="E86C00"/>
          <w:sz w:val="12"/>
        </w:rPr>
        <w:t>____________________________________________________________</w:t>
      </w:r>
    </w:p>
    <w:p>
      <w:pPr>
        <w:keepNext/>
        <w:spacing w:before="360" w:after="160"/>
      </w:pPr>
      <w:r>
        <w:rPr>
          <w:rFonts w:ascii="Calibri" w:hAnsi="Calibri"/>
          <w:b/>
          <w:i w:val="0"/>
          <w:color w:val="0B2A4A"/>
          <w:sz w:val="44"/>
        </w:rPr>
        <w:t>Where we are now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333333"/>
          <w:sz w:val="22"/>
        </w:rPr>
        <w:t xml:space="preserve">Phase 1 — </w:t>
      </w:r>
      <w:r>
        <w:rPr>
          <w:rFonts w:ascii="Calibri" w:hAnsi="Calibri"/>
          <w:b/>
          <w:i w:val="0"/>
          <w:color w:val="333333"/>
          <w:sz w:val="22"/>
        </w:rPr>
        <w:t>Foundations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is complete.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333333"/>
          <w:sz w:val="22"/>
        </w:rPr>
        <w:t xml:space="preserve">Phase 2 — </w:t>
      </w:r>
      <w:r>
        <w:rPr>
          <w:rFonts w:ascii="Calibri" w:hAnsi="Calibri"/>
          <w:b/>
          <w:i w:val="0"/>
          <w:color w:val="333333"/>
          <w:sz w:val="22"/>
        </w:rPr>
        <w:t>Applied Practice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began as a single week (Week 3 of the ten-week program). We expanded that one week into four so participants can do the work deliberately instead of sprint through it.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333333"/>
          <w:sz w:val="22"/>
        </w:rPr>
        <w:t xml:space="preserve">The four weeks of the expanded Applied Practice: </w:t>
      </w:r>
      <w:r>
        <w:rPr>
          <w:rFonts w:ascii="Calibri" w:hAnsi="Calibri"/>
          <w:b/>
          <w:i w:val="0"/>
          <w:color w:val="333333"/>
          <w:sz w:val="22"/>
        </w:rPr>
        <w:t>Baseline</w:t>
      </w:r>
      <w:r>
        <w:rPr>
          <w:rFonts w:ascii="Calibri" w:hAnsi="Calibri"/>
          <w:b w:val="0"/>
          <w:i w:val="0"/>
          <w:color w:val="333333"/>
          <w:sz w:val="22"/>
        </w:rPr>
        <w:t xml:space="preserve"> (done) → </w:t>
      </w:r>
      <w:r>
        <w:rPr>
          <w:rFonts w:ascii="Calibri" w:hAnsi="Calibri"/>
          <w:b/>
          <w:i w:val="0"/>
          <w:color w:val="333333"/>
          <w:sz w:val="22"/>
        </w:rPr>
        <w:t>Inspect &amp; improve</w:t>
      </w:r>
      <w:r>
        <w:rPr>
          <w:rFonts w:ascii="Calibri" w:hAnsi="Calibri"/>
          <w:b w:val="0"/>
          <w:i w:val="0"/>
          <w:color w:val="333333"/>
          <w:sz w:val="22"/>
        </w:rPr>
        <w:t xml:space="preserve"> (next) → </w:t>
      </w:r>
      <w:r>
        <w:rPr>
          <w:rFonts w:ascii="Calibri" w:hAnsi="Calibri"/>
          <w:b/>
          <w:i w:val="0"/>
          <w:color w:val="333333"/>
          <w:sz w:val="22"/>
        </w:rPr>
        <w:t>Validate</w:t>
      </w:r>
      <w:r>
        <w:rPr>
          <w:rFonts w:ascii="Calibri" w:hAnsi="Calibri"/>
          <w:b w:val="0"/>
          <w:i w:val="0"/>
          <w:color w:val="333333"/>
          <w:sz w:val="22"/>
        </w:rPr>
        <w:t xml:space="preserve"> → </w:t>
      </w:r>
      <w:r>
        <w:rPr>
          <w:rFonts w:ascii="Calibri" w:hAnsi="Calibri"/>
          <w:b/>
          <w:i w:val="0"/>
          <w:color w:val="333333"/>
          <w:sz w:val="22"/>
        </w:rPr>
        <w:t>Adopt &amp; review</w:t>
      </w:r>
      <w:r>
        <w:rPr>
          <w:rFonts w:ascii="Calibri" w:hAnsi="Calibri"/>
          <w:b w:val="0"/>
          <w:i w:val="0"/>
          <w:color w:val="333333"/>
          <w:sz w:val="22"/>
        </w:rPr>
        <w:t>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333333"/>
          <w:sz w:val="22"/>
        </w:rPr>
        <w:t>Week 1 is complete. Participants established a project-health baseline and identified the highest-friction risks in their codebase.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333333"/>
          <w:sz w:val="22"/>
        </w:rPr>
        <w:t>Three weeks remain inside Applied Practice — focused on improvement, validation, and team adoption.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Status chips: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333333"/>
          <w:sz w:val="22"/>
        </w:rPr>
        <w:t>Phase 1 · Foundations complete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333333"/>
          <w:sz w:val="22"/>
        </w:rPr>
        <w:t>Phase 2 · Week 1 of 4 complete</w:t>
      </w:r>
    </w:p>
    <w:p>
      <w:pPr>
        <w:spacing w:before="160" w:after="160"/>
        <w:jc w:val="left"/>
      </w:pPr>
      <w:r>
        <w:rPr>
          <w:rFonts w:ascii="Calibri" w:hAnsi="Calibri"/>
          <w:b/>
          <w:i w:val="0"/>
          <w:color w:val="E86C00"/>
          <w:sz w:val="12"/>
        </w:rPr>
        <w:t>____________________________________________________________</w:t>
      </w:r>
    </w:p>
    <w:p>
      <w:pPr>
        <w:keepNext/>
        <w:spacing w:before="360" w:after="160"/>
      </w:pPr>
      <w:r>
        <w:rPr>
          <w:rFonts w:ascii="Calibri" w:hAnsi="Calibri"/>
          <w:b/>
          <w:i w:val="0"/>
          <w:color w:val="0B2A4A"/>
          <w:sz w:val="44"/>
        </w:rPr>
        <w:t>What this phase is doing — and why we expanded it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333333"/>
          <w:sz w:val="22"/>
        </w:rPr>
        <w:t xml:space="preserve">Applied Practice shifts the emphasis from </w:t>
      </w:r>
      <w:r>
        <w:rPr>
          <w:rFonts w:ascii="Calibri" w:hAnsi="Calibri"/>
          <w:b w:val="0"/>
          <w:i/>
          <w:color w:val="333333"/>
          <w:sz w:val="22"/>
        </w:rPr>
        <w:t>tool familiarity</w:t>
      </w:r>
      <w:r>
        <w:rPr>
          <w:rFonts w:ascii="Calibri" w:hAnsi="Calibri"/>
          <w:b w:val="0"/>
          <w:i w:val="0"/>
          <w:color w:val="333333"/>
          <w:sz w:val="22"/>
        </w:rPr>
        <w:t xml:space="preserve"> to </w:t>
      </w:r>
      <w:r>
        <w:rPr>
          <w:rFonts w:ascii="Calibri" w:hAnsi="Calibri"/>
          <w:b w:val="0"/>
          <w:i/>
          <w:color w:val="333333"/>
          <w:sz w:val="22"/>
        </w:rPr>
        <w:t>improving project health</w:t>
      </w:r>
      <w:r>
        <w:rPr>
          <w:rFonts w:ascii="Calibri" w:hAnsi="Calibri"/>
          <w:b w:val="0"/>
          <w:i w:val="0"/>
          <w:color w:val="333333"/>
          <w:sz w:val="22"/>
        </w:rPr>
        <w:t xml:space="preserve"> in real codebases.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333333"/>
          <w:sz w:val="22"/>
        </w:rPr>
        <w:t>The original one-week compression did not give participants room to inspect, improve, validate, and review deliberately.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333333"/>
          <w:sz w:val="22"/>
        </w:rPr>
        <w:t>Four weeks gives each of those moves its own week, with evidence and a concrete output at the end of each.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The four weeks: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6" w:color="0B2A4A" w:space="0"/>
            </w:tcBorders>
          </w:tcPr>
          <w:p>
            <w:r>
              <w:rPr>
                <w:b/>
                <w:sz w:val="21"/>
              </w:rPr>
            </w:r>
            <w:r>
              <w:rPr>
                <w:rFonts w:ascii="Calibri" w:hAnsi="Calibri"/>
                <w:b/>
                <w:i w:val="0"/>
                <w:color w:val="0B2A4A"/>
                <w:sz w:val="21"/>
              </w:rPr>
              <w:t>Week</w:t>
            </w:r>
          </w:p>
        </w:tc>
        <w:tc>
          <w:tcPr>
            <w:tcW w:type="dxa" w:w="3135"/>
            <w:tcBorders>
              <w:bottom w:val="single" w:sz="6" w:color="0B2A4A" w:space="0"/>
            </w:tcBorders>
          </w:tcPr>
          <w:p>
            <w:r>
              <w:rPr>
                <w:b/>
                <w:sz w:val="21"/>
              </w:rPr>
            </w:r>
            <w:r>
              <w:rPr>
                <w:rFonts w:ascii="Calibri" w:hAnsi="Calibri"/>
                <w:b/>
                <w:i w:val="0"/>
                <w:color w:val="0B2A4A"/>
                <w:sz w:val="21"/>
              </w:rPr>
              <w:t>Focus</w:t>
            </w:r>
          </w:p>
        </w:tc>
        <w:tc>
          <w:tcPr>
            <w:tcW w:type="dxa" w:w="3135"/>
            <w:tcBorders>
              <w:bottom w:val="single" w:sz="6" w:color="0B2A4A" w:space="0"/>
            </w:tcBorders>
          </w:tcPr>
          <w:p>
            <w:r>
              <w:rPr>
                <w:b/>
                <w:sz w:val="21"/>
              </w:rPr>
            </w:r>
            <w:r>
              <w:rPr>
                <w:rFonts w:ascii="Calibri" w:hAnsi="Calibri"/>
                <w:b/>
                <w:i w:val="0"/>
                <w:color w:val="0B2A4A"/>
                <w:sz w:val="21"/>
              </w:rPr>
              <w:t>What participants produce</w:t>
            </w:r>
          </w:p>
        </w:tc>
      </w:tr>
      <w:tr>
        <w:tc>
          <w:tcPr>
            <w:tcW w:type="dxa" w:w="3135"/>
            <w:tcBorders>
              <w:bottom w:val="single" w:sz="4" w:color="E0E0E0" w:space="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3135"/>
            <w:tcBorders>
              <w:bottom w:val="single" w:sz="4" w:color="E0E0E0" w:space="0"/>
            </w:tcBorders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Inspect</w:t>
            </w:r>
          </w:p>
        </w:tc>
        <w:tc>
          <w:tcPr>
            <w:tcW w:type="dxa" w:w="3135"/>
            <w:tcBorders>
              <w:bottom w:val="single" w:sz="4" w:color="E0E0E0" w:space="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Project-health baseline + highest-friction areas</w:t>
            </w:r>
          </w:p>
        </w:tc>
      </w:tr>
      <w:tr>
        <w:tc>
          <w:tcPr>
            <w:tcW w:type="dxa" w:w="3135"/>
            <w:tcBorders>
              <w:bottom w:val="single" w:sz="4" w:color="E0E0E0" w:space="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3135"/>
            <w:tcBorders>
              <w:bottom w:val="single" w:sz="4" w:color="E0E0E0" w:space="0"/>
            </w:tcBorders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Improve</w:t>
            </w:r>
          </w:p>
        </w:tc>
        <w:tc>
          <w:tcPr>
            <w:tcW w:type="dxa" w:w="3135"/>
            <w:tcBorders>
              <w:bottom w:val="single" w:sz="4" w:color="E0E0E0" w:space="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One bounded, AI-assisted candidate change on a branch</w:t>
            </w:r>
          </w:p>
        </w:tc>
      </w:tr>
      <w:tr>
        <w:tc>
          <w:tcPr>
            <w:tcW w:type="dxa" w:w="3135"/>
            <w:tcBorders>
              <w:bottom w:val="single" w:sz="4" w:color="E0E0E0" w:space="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3135"/>
            <w:tcBorders>
              <w:bottom w:val="single" w:sz="4" w:color="E0E0E0" w:space="0"/>
            </w:tcBorders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Validate</w:t>
            </w:r>
          </w:p>
        </w:tc>
        <w:tc>
          <w:tcPr>
            <w:tcW w:type="dxa" w:w="3135"/>
            <w:tcBorders>
              <w:bottom w:val="single" w:sz="4" w:color="E0E0E0" w:space="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Tests, observability, and security review of the candidate change</w:t>
            </w:r>
          </w:p>
        </w:tc>
      </w:tr>
      <w:tr>
        <w:tc>
          <w:tcPr>
            <w:tcW w:type="dxa" w:w="3135"/>
            <w:tcBorders>
              <w:bottom w:val="single" w:sz="4" w:color="E0E0E0" w:space="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4</w:t>
            </w:r>
          </w:p>
        </w:tc>
        <w:tc>
          <w:tcPr>
            <w:tcW w:type="dxa" w:w="3135"/>
            <w:tcBorders>
              <w:bottom w:val="single" w:sz="4" w:color="E0E0E0" w:space="0"/>
            </w:tcBorders>
          </w:tcPr>
          <w:p>
            <w:r/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Review &amp; adopt</w:t>
            </w:r>
          </w:p>
        </w:tc>
        <w:tc>
          <w:tcPr>
            <w:tcW w:type="dxa" w:w="3135"/>
            <w:tcBorders>
              <w:bottom w:val="single" w:sz="4" w:color="E0E0E0" w:space="0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Comparison, adoption decision, and repeatable team practice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What the expansion buys us: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333333"/>
          <w:sz w:val="22"/>
        </w:rPr>
        <w:t>Room to do the work, not just hear it explained.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333333"/>
          <w:sz w:val="22"/>
        </w:rPr>
        <w:t>Evidence collected and reviewed each week, not rolled up at the end.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333333"/>
          <w:sz w:val="22"/>
        </w:rPr>
        <w:t>Structural improvement we can measure — not self-reported "felt better."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The goal this serves: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333333"/>
          <w:sz w:val="22"/>
        </w:rPr>
        <w:t xml:space="preserve">Systems that are easier to </w:t>
      </w:r>
      <w:r>
        <w:rPr>
          <w:rFonts w:ascii="Calibri" w:hAnsi="Calibri"/>
          <w:b/>
          <w:i w:val="0"/>
          <w:color w:val="333333"/>
          <w:sz w:val="22"/>
        </w:rPr>
        <w:t>understand</w:t>
      </w:r>
      <w:r>
        <w:rPr>
          <w:rFonts w:ascii="Calibri" w:hAnsi="Calibri"/>
          <w:b w:val="0"/>
          <w:i w:val="0"/>
          <w:color w:val="333333"/>
          <w:sz w:val="22"/>
        </w:rPr>
        <w:t>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333333"/>
          <w:sz w:val="22"/>
        </w:rPr>
        <w:t xml:space="preserve">Systems that are safer to </w:t>
      </w:r>
      <w:r>
        <w:rPr>
          <w:rFonts w:ascii="Calibri" w:hAnsi="Calibri"/>
          <w:b/>
          <w:i w:val="0"/>
          <w:color w:val="333333"/>
          <w:sz w:val="22"/>
        </w:rPr>
        <w:t>change</w:t>
      </w:r>
      <w:r>
        <w:rPr>
          <w:rFonts w:ascii="Calibri" w:hAnsi="Calibri"/>
          <w:b w:val="0"/>
          <w:i w:val="0"/>
          <w:color w:val="333333"/>
          <w:sz w:val="22"/>
        </w:rPr>
        <w:t>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333333"/>
          <w:sz w:val="22"/>
        </w:rPr>
        <w:t xml:space="preserve">Systems that are easier to </w:t>
      </w:r>
      <w:r>
        <w:rPr>
          <w:rFonts w:ascii="Calibri" w:hAnsi="Calibri"/>
          <w:b/>
          <w:i w:val="0"/>
          <w:color w:val="333333"/>
          <w:sz w:val="22"/>
        </w:rPr>
        <w:t>govern</w:t>
      </w:r>
      <w:r>
        <w:rPr>
          <w:rFonts w:ascii="Calibri" w:hAnsi="Calibri"/>
          <w:b w:val="0"/>
          <w:i w:val="0"/>
          <w:color w:val="333333"/>
          <w:sz w:val="22"/>
        </w:rPr>
        <w:t>.</w:t>
      </w:r>
    </w:p>
    <w:p>
      <w:pPr>
        <w:spacing w:before="160" w:after="160"/>
        <w:jc w:val="left"/>
      </w:pPr>
      <w:r>
        <w:rPr>
          <w:rFonts w:ascii="Calibri" w:hAnsi="Calibri"/>
          <w:b/>
          <w:i w:val="0"/>
          <w:color w:val="E86C00"/>
          <w:sz w:val="12"/>
        </w:rPr>
        <w:t>____________________________________________________________</w:t>
      </w:r>
    </w:p>
    <w:p>
      <w:pPr>
        <w:keepNext/>
        <w:spacing w:before="360" w:after="160"/>
      </w:pPr>
      <w:r>
        <w:rPr>
          <w:rFonts w:ascii="Calibri" w:hAnsi="Calibri"/>
          <w:b/>
          <w:i w:val="0"/>
          <w:color w:val="0B2A4A"/>
          <w:sz w:val="44"/>
        </w:rPr>
        <w:t>Sample signals from the analysis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 xml:space="preserve">Both sides of the picture. </w:t>
      </w:r>
      <w:r>
        <w:rPr>
          <w:rFonts w:ascii="Calibri" w:hAnsi="Calibri"/>
          <w:b/>
          <w:i w:val="0"/>
          <w:color w:val="333333"/>
          <w:sz w:val="22"/>
        </w:rPr>
        <w:t>Quantitative</w:t>
      </w:r>
      <w:r>
        <w:rPr>
          <w:rFonts w:ascii="Calibri" w:hAnsi="Calibri"/>
          <w:b w:val="0"/>
          <w:i w:val="0"/>
          <w:color w:val="333333"/>
          <w:sz w:val="22"/>
        </w:rPr>
        <w:t xml:space="preserve"> signals answer "how much, how often." </w:t>
      </w:r>
      <w:r>
        <w:rPr>
          <w:rFonts w:ascii="Calibri" w:hAnsi="Calibri"/>
          <w:b/>
          <w:i w:val="0"/>
          <w:color w:val="333333"/>
          <w:sz w:val="22"/>
        </w:rPr>
        <w:t>Qualitative</w:t>
      </w:r>
      <w:r>
        <w:rPr>
          <w:rFonts w:ascii="Calibri" w:hAnsi="Calibri"/>
          <w:b w:val="0"/>
          <w:i w:val="0"/>
          <w:color w:val="333333"/>
          <w:sz w:val="22"/>
        </w:rPr>
        <w:t xml:space="preserve"> signals answer "what's the pattern." Each signal is sourced to a specific query or evidence pass — nothing floats.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B2A4A"/>
          <w:sz w:val="32"/>
        </w:rPr>
        <w:t>Qualitative signals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333333"/>
          <w:sz w:val="22"/>
        </w:rPr>
        <w:t>Architecture clarity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can the team quickly explain system boundaries?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333333"/>
          <w:sz w:val="22"/>
        </w:rPr>
        <w:t>Documentation drift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are critical rules written down, or tribal knowledge?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333333"/>
          <w:sz w:val="22"/>
        </w:rPr>
        <w:t>Risk hotspots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where does change repeatedly cost more than estimated?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333333"/>
          <w:sz w:val="22"/>
        </w:rPr>
        <w:t>Testing confidence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do tests protect risky behavior, or chase coverage?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333333"/>
          <w:sz w:val="22"/>
        </w:rPr>
        <w:t>Workflow discipline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are changes reviewable, and actually reviewed?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333333"/>
          <w:sz w:val="22"/>
        </w:rPr>
        <w:t>Highest-leverage next move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one bounded improvement worth doing first.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B2A4A"/>
          <w:sz w:val="32"/>
        </w:rPr>
        <w:t>Quantitative signals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333333"/>
          <w:sz w:val="22"/>
        </w:rPr>
        <w:t>File churn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top files by commit frequency, window over window.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333333"/>
          <w:sz w:val="22"/>
        </w:rPr>
        <w:t>Co-change pairs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which files keep moving together.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333333"/>
          <w:sz w:val="22"/>
        </w:rPr>
        <w:t>Cycle time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median hours from change opened to merged.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333333"/>
          <w:sz w:val="22"/>
        </w:rPr>
        <w:t>Review depth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reviewers, comment threads, PR-size distribution.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333333"/>
          <w:sz w:val="22"/>
        </w:rPr>
        <w:t>Release signals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CI pass rate, rollbacks, merge-to-prod latency.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333333"/>
          <w:sz w:val="22"/>
        </w:rPr>
        <w:t>Coverage snapshots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observability on hot paths, lockdown-test presence.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B2A4A"/>
          <w:sz w:val="32"/>
        </w:rPr>
        <w:t>How we treat any one signal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 xml:space="preserve">Every signal is run across </w:t>
      </w:r>
      <w:r>
        <w:rPr>
          <w:rFonts w:ascii="Calibri" w:hAnsi="Calibri"/>
          <w:b/>
          <w:i w:val="0"/>
          <w:color w:val="333333"/>
          <w:sz w:val="22"/>
        </w:rPr>
        <w:t>two consecutive windows</w:t>
      </w:r>
      <w:r>
        <w:rPr>
          <w:rFonts w:ascii="Calibri" w:hAnsi="Calibri"/>
          <w:b w:val="0"/>
          <w:i w:val="0"/>
          <w:color w:val="333333"/>
          <w:sz w:val="22"/>
        </w:rPr>
        <w:t xml:space="preserve">. A signal that recurs across both is treated as </w:t>
      </w:r>
      <w:r>
        <w:rPr>
          <w:rFonts w:ascii="Calibri" w:hAnsi="Calibri"/>
          <w:b w:val="0"/>
          <w:i/>
          <w:color w:val="333333"/>
          <w:sz w:val="22"/>
        </w:rPr>
        <w:t>structural</w:t>
      </w:r>
      <w:r>
        <w:rPr>
          <w:rFonts w:ascii="Calibri" w:hAnsi="Calibri"/>
          <w:b w:val="0"/>
          <w:i w:val="0"/>
          <w:color w:val="333333"/>
          <w:sz w:val="22"/>
        </w:rPr>
        <w:t xml:space="preserve">. A signal that appears in only one window is flagged as </w:t>
      </w:r>
      <w:r>
        <w:rPr>
          <w:rFonts w:ascii="Calibri" w:hAnsi="Calibri"/>
          <w:b w:val="0"/>
          <w:i/>
          <w:color w:val="333333"/>
          <w:sz w:val="22"/>
        </w:rPr>
        <w:t>tentative</w:t>
      </w:r>
      <w:r>
        <w:rPr>
          <w:rFonts w:ascii="Calibri" w:hAnsi="Calibri"/>
          <w:b w:val="0"/>
          <w:i w:val="0"/>
          <w:color w:val="333333"/>
          <w:sz w:val="22"/>
        </w:rPr>
        <w:t>. That's what lets us tell leadership "this is real" versus "this was a bad week."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680"/>
      <w:gridCol w:w="4680"/>
    </w:tblGrid>
    <w:tr>
      <w:tc>
        <w:tcPr>
          <w:tcW w:type="dxa" w:w="4680"/>
          <w:vAlign w:val="center"/>
          <w:tcBorders>
            <w:top w:val="single" w:sz="6" w:color="BFBFBF" w:space="0"/>
          </w:tcBorders>
        </w:tcPr>
        <w:p>
          <w:pPr>
            <w:spacing w:after="40"/>
          </w:pPr>
          <w:r>
            <w:rPr>
              <w:rFonts w:ascii="Calibri" w:hAnsi="Calibri"/>
              <w:b w:val="0"/>
              <w:i w:val="0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vAlign w:val="center"/>
          <w:tcBorders>
            <w:top w:val="single" w:sz="6" w:color="BFBFBF" w:space="0"/>
          </w:tcBorders>
        </w:tcPr>
        <w:p>
          <w:pPr>
            <w:spacing w:after="40"/>
            <w:jc w:val="right"/>
          </w:pPr>
          <w:r>
            <w:rPr>
              <w:rFonts w:ascii="Calibri" w:hAnsi="Calibri"/>
              <w:color w:val="666666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680"/>
      <w:gridCol w:w="4680"/>
    </w:tblGrid>
    <w:tr>
      <w:tc>
        <w:tcPr>
          <w:tcW w:type="dxa" w:w="4680"/>
          <w:vAlign w:val="center"/>
          <w:tcBorders>
            <w:bottom w:val="single" w:sz="8" w:color="0B2A4A" w:space="0"/>
          </w:tcBorders>
        </w:tcPr>
        <w:p>
          <w:pPr>
            <w:spacing w:after="40"/>
          </w:pPr>
          <w:r>
            <w:rPr>
              <w:rFonts w:ascii="Calibri" w:hAnsi="Calibri"/>
              <w:b/>
              <w:i w:val="0"/>
              <w:color w:val="0B2A4A"/>
              <w:sz w:val="20"/>
            </w:rPr>
            <w:t>INTEGRAL DRAGON</w:t>
          </w:r>
        </w:p>
      </w:tc>
      <w:tc>
        <w:tcPr>
          <w:tcW w:type="dxa" w:w="4680"/>
          <w:vAlign w:val="center"/>
          <w:tcBorders>
            <w:bottom w:val="single" w:sz="8" w:color="0B2A4A" w:space="0"/>
          </w:tcBorders>
        </w:tcPr>
        <w:p>
          <w:pPr>
            <w:spacing w:after="40"/>
            <w:jc w:val="right"/>
          </w:pPr>
          <w:r>
            <w:rPr>
              <w:rFonts w:ascii="Calibri" w:hAnsi="Calibri"/>
              <w:b w:val="0"/>
              <w:i/>
              <w:color w:val="666666"/>
              <w:sz w:val="18"/>
            </w:rPr>
            <w:t>Applied Practice Alignment Update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