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1: The Agentic Engineering Shift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In-Session Practice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1: Cost Chain Analysis (5 minutes)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You receive the following situation: A colleague used AI to accelerate a service-layer change. The diff was large, tests passed locally, and the PR was merged. Three weeks later, a production incident surfaces a hidden branch assumption no one can explain.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Questions: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At which step in the cost chain did the failure become unavoidable?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Which of the six structure stack control points — if present — would most likely have prevented it?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Write one acceptance criterion that should have been stated before generation began.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2: Personal Audit (5 minutes)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Think about the last real AI-assisted task you completed that was reviewed by someone else.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Questions: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Which of the three operating postures — output, reviewability, ownership — were you optimizing for?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Could a reviewer who was not present during generation explain the reasoning behind the key decisions in the diff?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If you had to hand this off to a new engineer in six months, what would they struggle to understand?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"At what point does 'AI helping me move faster' become 'AI introducing risk the team cannot currently manage'?"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"What does comprehension debt look like in your current codebase? Where do you already see its symptoms?"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"Which of the six control points does your current team already enforce? Which are informal or absent?"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Before Session 02, identify one recent AI-assisted change in your codebase where you are not confident you could explain every decision to a new team member. Note specifically: which control points were present, which were absent, and what the handoff risk is.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Key Vocabulary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Comprehension debt: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accumulated cost of changes the team cannot explain, defend, or safely modify later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Structure stack: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six control points — intent, scope, constraints, review, approval, narration — that preserve ownership through AI-assisted engineering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Operating postures: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three dimensions of success — output, reviewability, and ownership — that all matter simultaneously in enterprise delivery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