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3: Context Boundaries and Rot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Facilitator Brief — Speaking Notes, Pacing &amp; Demo Sequence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Purpose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Explain why context quality matters more than context volume, and establish the engineering practices — bounded context, session management, and specialized agent design — that prevent context rot from degrading output reliability.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Why This Session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Context windows are large and getting larger. Teams naturally respond by putting more in. Session 03 is the counterargument: large context windows create possibility, not permission. Context rot is a reliability failure that emerges quietly and compounds over time.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Learning Outcomes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By the end of this session, students should be able to: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what context rot is and describe its symptoms in AI-assisted engineering workflows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Identify the hidden context types — system prompt, tool schemas, transcript history — that consume budget before the user prompt begins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Distinguish between session state and persistent memory and know when to use each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why specialized agents with narrow tool scope outperform monolithic mega-agents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Apply the minimum working set principle to a realistic engineering task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Ideas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1. More data is not the same as better reasoning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Traditional software does not degrade from larger payloads. LLMs do degrade when irrelevant context overwhelms the task signal. Context rot starts when the signal-to-noise ratio drops below what the model can reliably prioritize.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2. The whole-repo dump is usually the wrong move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Sending fifty files creates cross-pollination risk — irrelevant modules can leak their names and patterns into the answer. The better pattern is to send the minimum working set for the immediate task.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3. Hidden context consumes budget before you type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System prompts, tool schemas, and transcript history are all necessary — and all consume tokens. Hidden context means the cognitive bucket is already partially full before the user starts typing.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4. Sessions and memory are different tools for different jobs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Sessions preserve continuity within an active task but also accumulate retries, failures, and noise. Persistent memory stores durable facts and architectural rules without replaying irrelevant history.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5. Specialized agents outperform monolithic ones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NxM problem: a mega-agent with many tools, many repos, and many schemas compounds context clutter and hallucination risk. Narrow agents with clean prompts and few tools are more reliable and easier to govern.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23-Minute 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00:00–04:00: The misconception — why more context does not mean better reasoning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04:00–08:00: Context rot — latency, cost, and precision degradation in practice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08:00–12:00: Hidden context — system prompts, tool schemas, and transcript state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12:00–16:00: Sessions vs. memory — when to use each, and how they compound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16:00–20:00: NxM problem — monolithic vs. specialized agent design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20:00–23:00: Context scoping exercise and bridge to Session 04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Takeaway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best context is not the largest context. It is the smallest context that still preserves the task signal.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01: Needle in a Haystack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Show how a single critical fact gets lost when irrelevant context overwhelms the task signal.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Place one important constraint — "do not modify the database schema" — inside a 20-file repo dump.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Run a task that would violate that constraint if it goes unnoticed.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Show the model producing a technically plausible but schema-violating response.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Repeat with only the relevant 3 files and the constraint stated explicitly.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Volume does not improve precision — it often degrades it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Critical constraints should be in the foreground, not buried in noise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Minimum working set is an engineering discipline, not a limitation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02: Tool Schema as Hidden Context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Make the invisible token cost of tool schemas visible.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Start a Claude Code session with 10 tools enabled.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Show the token count of the system prompt and tool schema block before the user types anything.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Disable 7 of the 10 tools and show the token count again.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Ask: "Which of those 7 tools did you actually need for this task?"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Every enabled tool adds to the hidden context before the user prompt begins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Tool scope is an architecture decision, not a setup default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Fewer tools means cleaner prompts and lower hallucination risk on tool call generation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03: Sessions vs. Memory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Distinguish the two state management mechanisms and show when each is appropriate.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 xml:space="preserve">Start a Claude Code session, make several back-and-forth exchanges, and then show how </w:t>
      </w:r>
      <w:r>
        <w:rPr>
          <w:rFonts w:ascii="Consolas" w:hAnsi="Consolas"/>
          <w:b w:val="0"/>
          <w:i w:val="0"/>
          <w:color w:val="1A73E8"/>
          <w:sz w:val="20"/>
        </w:rPr>
        <w:t>/resume</w:t>
      </w:r>
      <w:r>
        <w:rPr>
          <w:rFonts w:ascii="Calibri" w:hAnsi="Calibri"/>
          <w:b w:val="0"/>
          <w:i w:val="0"/>
          <w:color w:val="333333"/>
          <w:sz w:val="22"/>
        </w:rPr>
        <w:t xml:space="preserve"> replays the entire transcript.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Show how memory entries — project rules stored in CLAUDE.md — survive across sessions without carrying the transcript noise.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Ask: "What belongs in each layer? What would you never want to carry forward in a resumed session?"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Sessions are short continuity — useful within one active task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Memory is long-lived facts and architectural rules — useful across sessions and teammates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Mixing them up creates either loss of context or accumulation of noise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3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