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3: Context Boundaries and Rot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Reference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Claude Code Memory and Context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Memory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docs.anthropic.com/en/docs/claude-code/memory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How Claude Code manages CLAUDE.md, session state, and persistent memory. Essential for implementing the sessions-vs-memory distinction covered in this session.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Context Window Documentation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Models Overview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docs.anthropic.com/en/docs/about-claude/models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Current context window limits per model. Use this when making architecture decisions about how much context a given task can safely accept.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Strongly Recommended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Research on Context Window Reliability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"Lost in the Middle: How Language Models Use Long Contexts" — Liu et al.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arxiv.org/abs/2307.03172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Direct research evidence for the context rot phenomenon. Models do not attend equally to all positions in long contexts — performance degrades on information positioned in the middle of very long inputs. Read the abstract and key findings.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Tool Design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Tool Use Documentation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docs.anthropic.com/en/docs/build-with-claude/tool-use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How tools are represented as token-consuming schema objects in the context. Directly relevant to the hidden context and tool scope discussion.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For Further Exploration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Agent Architecture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"ReAct: Synergizing Reasoning and Acting in Language Models" — Yao et al.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arxiv.org/abs/2210.03629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foundational paper on the reason-act loop that underlies agentic CLI behavior. Useful for understanding why the loop architecture creates both capability and context accumulation risk.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Retrieval-Augmented Generation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"Retrieval-Augmented Generation for Knowledge-Intensive NLP Tasks" — Lewis et al.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arxiv.org/abs/2005.11401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alternative to dumping everything into the context: retrieve only what is relevant. Relevant for teams thinking about how to give agents access to large codebases without blowing the context budget.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Practical Tools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CLAUDE.md as project memory:</w:t>
      </w:r>
      <w:r>
        <w:rPr>
          <w:rFonts w:ascii="Calibri" w:hAnsi="Calibri"/>
          <w:b w:val="0"/>
          <w:i w:val="0"/>
          <w:color w:val="333333"/>
          <w:sz w:val="22"/>
        </w:rPr>
        <w:t xml:space="preserve"> Start every project with a CLAUDE.md that contains only stable facts — coding conventions, path rules, test expectations, and architectural boundaries. Do not put task-specific state in it.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`.claudeignore`:</w:t>
      </w:r>
      <w:r>
        <w:rPr>
          <w:rFonts w:ascii="Calibri" w:hAnsi="Calibri"/>
          <w:b w:val="0"/>
          <w:i w:val="0"/>
          <w:color w:val="333333"/>
          <w:sz w:val="22"/>
        </w:rPr>
        <w:t xml:space="preserve"> Use this file to prevent entire directories (build output, dependencies, sensitive configs) from being picked up by the context loader. Treat it like </w:t>
      </w:r>
      <w:r>
        <w:rPr>
          <w:rFonts w:ascii="Consolas" w:hAnsi="Consolas"/>
          <w:b w:val="0"/>
          <w:i w:val="0"/>
          <w:color w:val="1A73E8"/>
          <w:sz w:val="20"/>
        </w:rPr>
        <w:t>.gitignore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start restrictive and relax deliberately.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3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