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4: Claude Code CLI Architecture and Setup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Facilitator Brief — Speaking Notes, Pacing &amp; Demo Sequence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Purpose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Establish a working understanding of the Claude Code CLI as a local agentic harness, explain the trust boundary that local execution creates, and walk through the setup sequence that produces a correctly bounded enterprise environment.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Why This Session Matters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Participants who install the CLI and immediately start asking it to do work have skipped the most important step: establishing the execution boundary. The CLI inherits real filesystem and shell permissions. Setup, approvals, and ignore boundaries are not configuration chores — they are the first engineering controls in the agentic loop.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Learning Outcomes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By the end of this session, students should be able to: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Explain the three phases of the local agentic loop — context initialization, tool injection, and REPL execution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Describe why local execution changes the risk model compared to browser-based AI chat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Configure the four-stage setup sequence: install, authenticate, constrain, and verify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Identify the command surface used to validate the harness before beginning real work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Explain the difference between authentication (identity) and authorization (safe execution scope)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Core Ideas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1. The CLI is not chat in another window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CLI turns AI from consultant behavior into tool-mediated local execution. It is the orchestration layer between your repo, your shell, and the remote model. This distinction matters immediately: local execution inherits real filesystem and shell access.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2. The agentic loop has three phases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Context initialization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local rules, project files, and ignore boundaries load before any prompt is processed. </w:t>
      </w:r>
      <w:r>
        <w:rPr>
          <w:rFonts w:ascii="Calibri" w:hAnsi="Calibri"/>
          <w:b/>
          <w:i w:val="0"/>
          <w:color w:val="333333"/>
          <w:sz w:val="22"/>
        </w:rPr>
        <w:t>Tool injection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local capabilities are exposed through structured tool schemas. </w:t>
      </w:r>
      <w:r>
        <w:rPr>
          <w:rFonts w:ascii="Calibri" w:hAnsi="Calibri"/>
          <w:b/>
          <w:i w:val="0"/>
          <w:color w:val="333333"/>
          <w:sz w:val="22"/>
        </w:rPr>
        <w:t>REPL loop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tool calls execute locally, results flow back, and context deepens across turns.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3. Authentication establishes identity, not safety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 xml:space="preserve">The OAuth flow creates the local authenticated session. Least privilege must be enforced in the harness setup separately — through manual approvals, </w:t>
      </w:r>
      <w:r>
        <w:rPr>
          <w:rFonts w:ascii="Consolas" w:hAnsi="Consolas"/>
          <w:b w:val="0"/>
          <w:i w:val="0"/>
          <w:color w:val="1A73E8"/>
          <w:sz w:val="20"/>
        </w:rPr>
        <w:t>.claudeignore</w:t>
      </w:r>
      <w:r>
        <w:rPr>
          <w:rFonts w:ascii="Calibri" w:hAnsi="Calibri"/>
          <w:b w:val="0"/>
          <w:i w:val="0"/>
          <w:color w:val="333333"/>
          <w:sz w:val="22"/>
        </w:rPr>
        <w:t>, and repo scoping.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4. Setup is an engineering discipline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four-stage setup sequence — Install, Authenticate, Constrain, Verify — should be treated as deliberately as any other infrastructure provisioning. The first blocked action should be expected and informative, not a surprise.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5. Verify before trusting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 xml:space="preserve">The command surface — </w:t>
      </w:r>
      <w:r>
        <w:rPr>
          <w:rFonts w:ascii="Consolas" w:hAnsi="Consolas"/>
          <w:b w:val="0"/>
          <w:i w:val="0"/>
          <w:color w:val="1A73E8"/>
          <w:sz w:val="20"/>
        </w:rPr>
        <w:t>/help</w:t>
      </w:r>
      <w:r>
        <w:rPr>
          <w:rFonts w:ascii="Calibri" w:hAnsi="Calibri"/>
          <w:b w:val="0"/>
          <w:i w:val="0"/>
          <w:color w:val="333333"/>
          <w:sz w:val="22"/>
        </w:rPr>
        <w:t xml:space="preserve">, </w:t>
      </w:r>
      <w:r>
        <w:rPr>
          <w:rFonts w:ascii="Consolas" w:hAnsi="Consolas"/>
          <w:b w:val="0"/>
          <w:i w:val="0"/>
          <w:color w:val="1A73E8"/>
          <w:sz w:val="20"/>
        </w:rPr>
        <w:t>/model</w:t>
      </w:r>
      <w:r>
        <w:rPr>
          <w:rFonts w:ascii="Calibri" w:hAnsi="Calibri"/>
          <w:b w:val="0"/>
          <w:i w:val="0"/>
          <w:color w:val="333333"/>
          <w:sz w:val="22"/>
        </w:rPr>
        <w:t xml:space="preserve">, </w:t>
      </w:r>
      <w:r>
        <w:rPr>
          <w:rFonts w:ascii="Consolas" w:hAnsi="Consolas"/>
          <w:b w:val="0"/>
          <w:i w:val="0"/>
          <w:color w:val="1A73E8"/>
          <w:sz w:val="20"/>
        </w:rPr>
        <w:t>/doctor</w:t>
      </w:r>
      <w:r>
        <w:rPr>
          <w:rFonts w:ascii="Calibri" w:hAnsi="Calibri"/>
          <w:b w:val="0"/>
          <w:i w:val="0"/>
          <w:color w:val="333333"/>
          <w:sz w:val="22"/>
        </w:rPr>
        <w:t xml:space="preserve">, </w:t>
      </w:r>
      <w:r>
        <w:rPr>
          <w:rFonts w:ascii="Consolas" w:hAnsi="Consolas"/>
          <w:b w:val="0"/>
          <w:i w:val="0"/>
          <w:color w:val="1A73E8"/>
          <w:sz w:val="20"/>
        </w:rPr>
        <w:t>.claudeignore</w:t>
      </w:r>
      <w:r>
        <w:rPr>
          <w:rFonts w:ascii="Calibri" w:hAnsi="Calibri"/>
          <w:b w:val="0"/>
          <w:i w:val="0"/>
          <w:color w:val="333333"/>
          <w:sz w:val="22"/>
        </w:rPr>
        <w:t>, approval mode — exists to validate the harness before asking the agent to do real work. Reading the output of these commands is part of the setup process.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23-Minute Flow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00:00–04:00: The architectural shift — from browser chat to terminal-native engineering loop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04:00–09:00: The agentic loop — context init, tool injection, and REPL execution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09:00–14:00: Trust boundary — local execution, authentication vs. authorization, enterprise controls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14:00–19:00: Setup sequence demo — install, authenticate, constrain, verify in a clean environment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19:00–22:00: Command surface walkthrough and first-blocked-action demonstration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22:00–23:00: Bridge to Module 2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Key Takeaway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professional shift is not "use AI more." It is "run the harness responsibly." The execution environment must be bounded before the agent is trusted to do real work.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Demo 01: The Agentic Loop Made Visible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Goal:</w:t>
      </w:r>
      <w:r>
        <w:rPr>
          <w:rFonts w:ascii="Calibri" w:hAnsi="Calibri"/>
          <w:b w:val="0"/>
          <w:i w:val="0"/>
          <w:color w:val="333333"/>
          <w:sz w:val="22"/>
        </w:rPr>
        <w:t xml:space="preserve"> Show participants what happens between invoking </w:t>
      </w:r>
      <w:r>
        <w:rPr>
          <w:rFonts w:ascii="Consolas" w:hAnsi="Consolas"/>
          <w:b w:val="0"/>
          <w:i w:val="0"/>
          <w:color w:val="1A73E8"/>
          <w:sz w:val="20"/>
        </w:rPr>
        <w:t>claude</w:t>
      </w:r>
      <w:r>
        <w:rPr>
          <w:rFonts w:ascii="Calibri" w:hAnsi="Calibri"/>
          <w:b w:val="0"/>
          <w:i w:val="0"/>
          <w:color w:val="333333"/>
          <w:sz w:val="22"/>
        </w:rPr>
        <w:t xml:space="preserve"> and seeing a response — making the loop concrete rather than abstract.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Flow: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Start a Claude Code session in a simple dummy repository.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 xml:space="preserve">Before issuing any task, run </w:t>
      </w:r>
      <w:r>
        <w:rPr>
          <w:rFonts w:ascii="Consolas" w:hAnsi="Consolas"/>
          <w:b w:val="0"/>
          <w:i w:val="0"/>
          <w:color w:val="1A73E8"/>
          <w:sz w:val="20"/>
        </w:rPr>
        <w:t>/doctor</w:t>
      </w:r>
      <w:r>
        <w:rPr>
          <w:rFonts w:ascii="Calibri" w:hAnsi="Calibri"/>
          <w:b w:val="0"/>
          <w:i w:val="0"/>
          <w:color w:val="333333"/>
          <w:sz w:val="22"/>
        </w:rPr>
        <w:t xml:space="preserve"> and </w:t>
      </w:r>
      <w:r>
        <w:rPr>
          <w:rFonts w:ascii="Consolas" w:hAnsi="Consolas"/>
          <w:b w:val="0"/>
          <w:i w:val="0"/>
          <w:color w:val="1A73E8"/>
          <w:sz w:val="20"/>
        </w:rPr>
        <w:t>/model</w:t>
      </w:r>
      <w:r>
        <w:rPr>
          <w:rFonts w:ascii="Calibri" w:hAnsi="Calibri"/>
          <w:b w:val="0"/>
          <w:i w:val="0"/>
          <w:color w:val="333333"/>
          <w:sz w:val="22"/>
        </w:rPr>
        <w:t xml:space="preserve"> to show the harness state.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Issue a read-only reconnaissance task and narrate each phase: context load → tool schema injection → REPL turn → tool result → next turn.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 w:val="0"/>
          <w:i w:val="0"/>
          <w:color w:val="333333"/>
          <w:sz w:val="22"/>
        </w:rPr>
        <w:t>Show the difference between a read-only tool call and a write-capable tool call in terms of the approval prompt.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Teaching points: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loop is not "prompt in, answer out" — it is a multi-turn tool-calling cycle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Context initialization happens before the user types anything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approval prompt is the human control point inside the loop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Demo 02: Trust Boundary in Practice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Goal:</w:t>
      </w:r>
      <w:r>
        <w:rPr>
          <w:rFonts w:ascii="Calibri" w:hAnsi="Calibri"/>
          <w:b w:val="0"/>
          <w:i w:val="0"/>
          <w:color w:val="333333"/>
          <w:sz w:val="22"/>
        </w:rPr>
        <w:t xml:space="preserve"> Show what the CLI inherits from the local user account and why least privilege matters immediately.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Flow: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Show the current user context: who is logged in, what directory is active, what shell the CLI inherits.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Attempt a task that would write to a sensitive directory outside the project root — show the approval prompt blocking it.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 xml:space="preserve">Add a </w:t>
      </w:r>
      <w:r>
        <w:rPr>
          <w:rFonts w:ascii="Consolas" w:hAnsi="Consolas"/>
          <w:b w:val="0"/>
          <w:i w:val="0"/>
          <w:color w:val="1A73E8"/>
          <w:sz w:val="20"/>
        </w:rPr>
        <w:t>.claudeignore</w:t>
      </w:r>
      <w:r>
        <w:rPr>
          <w:rFonts w:ascii="Calibri" w:hAnsi="Calibri"/>
          <w:b w:val="0"/>
          <w:i w:val="0"/>
          <w:color w:val="333333"/>
          <w:sz w:val="22"/>
        </w:rPr>
        <w:t xml:space="preserve"> rule and show that the file is now invisible to context loading.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 w:val="0"/>
          <w:i w:val="0"/>
          <w:color w:val="333333"/>
          <w:sz w:val="22"/>
        </w:rPr>
        <w:t>Switch to a more permissive approval mode and explain when that is and is not appropriate.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Teaching points: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Authentication (who you are) and authorization (what you can do) are separate concerns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.claudeignore</w:t>
      </w:r>
      <w:r>
        <w:rPr>
          <w:rFonts w:ascii="Calibri" w:hAnsi="Calibri"/>
          <w:b w:val="0"/>
          <w:i w:val="0"/>
          <w:color w:val="333333"/>
          <w:sz w:val="22"/>
        </w:rPr>
        <w:t xml:space="preserve"> is the first line of defense for sensitive files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Approval mode is a harness configuration, not just a session preference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Demo 03: Four-Stage Setup Sequence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Goal:</w:t>
      </w:r>
      <w:r>
        <w:rPr>
          <w:rFonts w:ascii="Calibri" w:hAnsi="Calibri"/>
          <w:b w:val="0"/>
          <w:i w:val="0"/>
          <w:color w:val="333333"/>
          <w:sz w:val="22"/>
        </w:rPr>
        <w:t xml:space="preserve"> Walk through a complete, correct enterprise setup in real time.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Flow: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/>
          <w:i w:val="0"/>
          <w:color w:val="333333"/>
          <w:sz w:val="22"/>
        </w:rPr>
        <w:t>Install: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1A73E8"/>
          <w:sz w:val="20"/>
        </w:rPr>
        <w:t>npm install -g @anthropic-ai/claude-code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verify binary resolves, check node environment.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/>
          <w:i w:val="0"/>
          <w:color w:val="333333"/>
          <w:sz w:val="22"/>
        </w:rPr>
        <w:t>Authenticate:</w:t>
      </w:r>
      <w:r>
        <w:rPr>
          <w:rFonts w:ascii="Calibri" w:hAnsi="Calibri"/>
          <w:b w:val="0"/>
          <w:i w:val="0"/>
          <w:color w:val="333333"/>
          <w:sz w:val="22"/>
        </w:rPr>
        <w:t xml:space="preserve"> OAuth browser flow — verify identity matches the intended environment.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/>
          <w:i w:val="0"/>
          <w:color w:val="333333"/>
          <w:sz w:val="22"/>
        </w:rPr>
        <w:t>Constrain:</w:t>
      </w:r>
      <w:r>
        <w:rPr>
          <w:rFonts w:ascii="Calibri" w:hAnsi="Calibri"/>
          <w:b w:val="0"/>
          <w:i w:val="0"/>
          <w:color w:val="333333"/>
          <w:sz w:val="22"/>
        </w:rPr>
        <w:t xml:space="preserve"> Configure </w:t>
      </w:r>
      <w:r>
        <w:rPr>
          <w:rFonts w:ascii="Consolas" w:hAnsi="Consolas"/>
          <w:b w:val="0"/>
          <w:i w:val="0"/>
          <w:color w:val="1A73E8"/>
          <w:sz w:val="20"/>
        </w:rPr>
        <w:t>.claudeignore</w:t>
      </w:r>
      <w:r>
        <w:rPr>
          <w:rFonts w:ascii="Calibri" w:hAnsi="Calibri"/>
          <w:b w:val="0"/>
          <w:i w:val="0"/>
          <w:color w:val="333333"/>
          <w:sz w:val="22"/>
        </w:rPr>
        <w:t>, approval mode, and repo scoping — verify sensitive paths are blocked.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/>
          <w:i w:val="0"/>
          <w:color w:val="333333"/>
          <w:sz w:val="22"/>
        </w:rPr>
        <w:t>Verify:</w:t>
      </w:r>
      <w:r>
        <w:rPr>
          <w:rFonts w:ascii="Calibri" w:hAnsi="Calibri"/>
          <w:b w:val="0"/>
          <w:i w:val="0"/>
          <w:color w:val="333333"/>
          <w:sz w:val="22"/>
        </w:rPr>
        <w:t xml:space="preserve"> Run </w:t>
      </w:r>
      <w:r>
        <w:rPr>
          <w:rFonts w:ascii="Consolas" w:hAnsi="Consolas"/>
          <w:b w:val="0"/>
          <w:i w:val="0"/>
          <w:color w:val="1A73E8"/>
          <w:sz w:val="20"/>
        </w:rPr>
        <w:t>/help</w:t>
      </w:r>
      <w:r>
        <w:rPr>
          <w:rFonts w:ascii="Calibri" w:hAnsi="Calibri"/>
          <w:b w:val="0"/>
          <w:i w:val="0"/>
          <w:color w:val="333333"/>
          <w:sz w:val="22"/>
        </w:rPr>
        <w:t xml:space="preserve">, </w:t>
      </w:r>
      <w:r>
        <w:rPr>
          <w:rFonts w:ascii="Consolas" w:hAnsi="Consolas"/>
          <w:b w:val="0"/>
          <w:i w:val="0"/>
          <w:color w:val="1A73E8"/>
          <w:sz w:val="20"/>
        </w:rPr>
        <w:t>/model</w:t>
      </w:r>
      <w:r>
        <w:rPr>
          <w:rFonts w:ascii="Calibri" w:hAnsi="Calibri"/>
          <w:b w:val="0"/>
          <w:i w:val="0"/>
          <w:color w:val="333333"/>
          <w:sz w:val="22"/>
        </w:rPr>
        <w:t xml:space="preserve">, and </w:t>
      </w:r>
      <w:r>
        <w:rPr>
          <w:rFonts w:ascii="Consolas" w:hAnsi="Consolas"/>
          <w:b w:val="0"/>
          <w:i w:val="0"/>
          <w:color w:val="1A73E8"/>
          <w:sz w:val="20"/>
        </w:rPr>
        <w:t>/doctor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confirm expected commands work before any write-capable usage begins.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333333"/>
          <w:sz w:val="22"/>
        </w:rPr>
        <w:t>Teaching points: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Setup is a deliberate sequence, not a one-click install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Each stage has a verification step — the stage is not complete until the check passes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Serious agentic work does not begin when the model answers a question — it begins when the execution environment is correctly bounded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4 Facilitator Brief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