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spacing w:before="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14: Secure MCP Governance</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Session 14</w:t>
      </w:r>
    </w:p>
    <w:p>
      <w:pPr>
        <w:spacing w:before="240" w:after="80"/>
      </w:pPr>
      <w:r>
        <w:rPr>
          <w:rFonts w:ascii="Calibri" w:hAnsi="Calibri"/>
          <w:b/>
          <w:color w:val="0B2A4A"/>
          <w:sz w:val="32"/>
        </w:rPr>
        <w:t>Secure MCP Governance</w:t>
      </w:r>
    </w:p>
    <w:p>
      <w:pPr>
        <w:spacing w:before="200" w:after="60"/>
      </w:pPr>
      <w:r>
        <w:rPr>
          <w:rFonts w:ascii="Calibri" w:hAnsi="Calibri"/>
          <w:b/>
          <w:color w:val="1A73E8"/>
          <w:sz w:val="26"/>
        </w:rPr>
        <w:t>Purpose</w:t>
      </w:r>
    </w:p>
    <w:p>
      <w:pPr>
        <w:spacing w:before="0" w:after="80" w:line="276" w:lineRule="auto"/>
      </w:pPr>
      <w:r>
        <w:rPr>
          <w:rFonts w:ascii="Calibri" w:hAnsi="Calibri"/>
          <w:b w:val="0"/>
          <w:i w:val="0"/>
          <w:color w:val="333333"/>
          <w:sz w:val="22"/>
        </w:rPr>
        <w:t>Teach students how to secure MCP endpoints and servers so that tool access does not become a path for data poisoning, exfiltration, or unauthorized action.</w:t>
      </w:r>
    </w:p>
    <w:p>
      <w:pPr>
        <w:spacing w:before="200" w:after="60"/>
      </w:pPr>
      <w:r>
        <w:rPr>
          <w:rFonts w:ascii="Calibri" w:hAnsi="Calibri"/>
          <w:b/>
          <w:color w:val="1A73E8"/>
          <w:sz w:val="26"/>
        </w:rPr>
        <w:t>Why this session matters</w:t>
      </w:r>
    </w:p>
    <w:p>
      <w:pPr>
        <w:spacing w:before="0" w:after="80" w:line="276" w:lineRule="auto"/>
      </w:pPr>
      <w:r>
        <w:rPr>
          <w:rFonts w:ascii="Calibri" w:hAnsi="Calibri"/>
          <w:b w:val="0"/>
          <w:i w:val="0"/>
          <w:color w:val="333333"/>
          <w:sz w:val="22"/>
        </w:rPr>
        <w:t>MCP makes agents operational by connecting them to real systems. That same connection also creates a security boundary that must be governed explicitly. If the MCP server is weak, prompt-level caution is not enough to protect the enterprise.</w:t>
      </w:r>
    </w:p>
    <w:p>
      <w:pPr>
        <w:spacing w:before="200" w:after="60"/>
      </w:pPr>
      <w:r>
        <w:rPr>
          <w:rFonts w:ascii="Calibri" w:hAnsi="Calibri"/>
          <w:b/>
          <w:color w:val="1A73E8"/>
          <w:sz w:val="26"/>
        </w:rPr>
        <w:t>Learning outcomes</w:t>
      </w:r>
    </w:p>
    <w:p>
      <w:pPr>
        <w:spacing w:before="0" w:after="80" w:line="276" w:lineRule="auto"/>
      </w:pPr>
      <w:r>
        <w:rPr>
          <w:rFonts w:ascii="Calibri" w:hAnsi="Calibri"/>
          <w:b w:val="0"/>
          <w:i w:val="0"/>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explain why MCP server governance is a security boundary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distinguish prompt-level guardrails from server-level enforcement</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identify the minimum controls needed for a safe MCP rollout</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describe why read-only access should be the default first step</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recognize how prompt injection, data poisoning, and exfiltration change the threat model</w:t>
      </w:r>
    </w:p>
    <w:p>
      <w:pPr>
        <w:spacing w:before="200" w:after="60"/>
      </w:pPr>
      <w:r>
        <w:rPr>
          <w:rFonts w:ascii="Calibri" w:hAnsi="Calibri"/>
          <w:b/>
          <w:color w:val="1A73E8"/>
          <w:sz w:val="26"/>
        </w:rPr>
        <w:t>Core ideas</w:t>
      </w:r>
    </w:p>
    <w:p>
      <w:pPr>
        <w:spacing w:before="160" w:after="40"/>
      </w:pPr>
      <w:r>
        <w:rPr>
          <w:rFonts w:ascii="Calibri" w:hAnsi="Calibri"/>
          <w:b/>
          <w:color w:val="1A73E8"/>
          <w:sz w:val="22"/>
        </w:rPr>
        <w:t>1. The server is part of the trust boundary</w:t>
      </w:r>
    </w:p>
    <w:p>
      <w:pPr>
        <w:spacing w:before="0" w:after="80" w:line="276" w:lineRule="auto"/>
      </w:pPr>
      <w:r>
        <w:rPr>
          <w:rFonts w:ascii="Calibri" w:hAnsi="Calibri"/>
          <w:b w:val="0"/>
          <w:i w:val="0"/>
          <w:color w:val="333333"/>
          <w:sz w:val="22"/>
        </w:rPr>
        <w:t>An MCP server is not just a connector. It is a capability boundary that mediates access to data, tools, and actions. If the server is compromised, the model does not need to be “tricked” in the abstract; it can be handed dangerous capabilities directly.</w:t>
      </w:r>
    </w:p>
    <w:p>
      <w:pPr>
        <w:spacing w:before="160" w:after="40"/>
      </w:pPr>
      <w:r>
        <w:rPr>
          <w:rFonts w:ascii="Calibri" w:hAnsi="Calibri"/>
          <w:b/>
          <w:color w:val="1A73E8"/>
          <w:sz w:val="22"/>
        </w:rPr>
        <w:t>2. Prompt filtering is not enough</w:t>
      </w:r>
    </w:p>
    <w:p>
      <w:pPr>
        <w:spacing w:before="0" w:after="80" w:line="276" w:lineRule="auto"/>
      </w:pPr>
      <w:r>
        <w:rPr>
          <w:rFonts w:ascii="Calibri" w:hAnsi="Calibri"/>
          <w:b w:val="0"/>
          <w:i w:val="0"/>
          <w:color w:val="333333"/>
          <w:sz w:val="22"/>
        </w:rPr>
        <w:t>Security controls that only exist in the prompt can be bypassed by malicious tool output, hidden instructions, or compromised upstream content. Governance has to exist at the server, transport, and authorization layers.</w:t>
      </w:r>
    </w:p>
    <w:p>
      <w:pPr>
        <w:spacing w:before="160" w:after="40"/>
      </w:pPr>
      <w:r>
        <w:rPr>
          <w:rFonts w:ascii="Calibri" w:hAnsi="Calibri"/>
          <w:b/>
          <w:color w:val="1A73E8"/>
          <w:sz w:val="22"/>
        </w:rPr>
        <w:t>3. Read-only is the safest starting mode</w:t>
      </w:r>
    </w:p>
    <w:p>
      <w:pPr>
        <w:spacing w:before="0" w:after="80" w:line="276" w:lineRule="auto"/>
      </w:pPr>
      <w:r>
        <w:rPr>
          <w:rFonts w:ascii="Calibri" w:hAnsi="Calibri"/>
          <w:b w:val="0"/>
          <w:i w:val="0"/>
          <w:color w:val="333333"/>
          <w:sz w:val="22"/>
        </w:rPr>
        <w:t>The first rollout of an internal MCP server should usually be read-only. Let the team prove value, logging, and boundary behavior before enabling write actions.</w:t>
      </w:r>
    </w:p>
    <w:p>
      <w:pPr>
        <w:spacing w:before="160" w:after="40"/>
      </w:pPr>
      <w:r>
        <w:rPr>
          <w:rFonts w:ascii="Calibri" w:hAnsi="Calibri"/>
          <w:b/>
          <w:color w:val="1A73E8"/>
          <w:sz w:val="22"/>
        </w:rPr>
        <w:t>4. Access must be scoped and auditable</w:t>
      </w:r>
    </w:p>
    <w:p>
      <w:pPr>
        <w:spacing w:before="0" w:after="80" w:line="276" w:lineRule="auto"/>
      </w:pPr>
      <w:r>
        <w:rPr>
          <w:rFonts w:ascii="Calibri" w:hAnsi="Calibri"/>
          <w:b w:val="0"/>
          <w:i w:val="0"/>
          <w:color w:val="333333"/>
          <w:sz w:val="22"/>
        </w:rPr>
        <w:t>Teams need to know who can connect, which tools exist, which scopes are granted, and what every tool call did. If that cannot be answered, the integration is not ready for broader use.</w:t>
      </w:r>
    </w:p>
    <w:p>
      <w:pPr>
        <w:spacing w:before="160" w:after="40"/>
      </w:pPr>
      <w:r>
        <w:rPr>
          <w:rFonts w:ascii="Calibri" w:hAnsi="Calibri"/>
          <w:b/>
          <w:color w:val="1A73E8"/>
          <w:sz w:val="22"/>
        </w:rPr>
        <w:t>5. Server-level enforcement beats hope-based policy</w:t>
      </w:r>
    </w:p>
    <w:p>
      <w:pPr>
        <w:spacing w:before="0" w:after="80" w:line="276" w:lineRule="auto"/>
      </w:pPr>
      <w:r>
        <w:rPr>
          <w:rFonts w:ascii="Calibri" w:hAnsi="Calibri"/>
          <w:b w:val="0"/>
          <w:i w:val="0"/>
          <w:color w:val="333333"/>
          <w:sz w:val="22"/>
        </w:rPr>
        <w:t>The strongest controls are enforced where the action occurs. MCP governance should deny, limit, or log dangerous behavior at the server instead of expecting the model to self-police reliably.</w:t>
      </w:r>
    </w:p>
    <w:p>
      <w:pPr>
        <w:spacing w:before="200" w:after="60"/>
      </w:pPr>
      <w:r>
        <w:rPr>
          <w:rFonts w:ascii="Calibri" w:hAnsi="Calibri"/>
          <w:b/>
          <w:color w:val="1A73E8"/>
          <w:sz w:val="26"/>
        </w:rPr>
        <w:t>Engineering implications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internal MCP servers should be treated like production services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auth, scopes, and transport security matter as much as the tool catalog</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data returned from a server must be treated as potentially hostile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write access should be staged and separately approved</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Session 14 closes the foundations arc by hardening the integration surface</w:t>
      </w:r>
    </w:p>
    <w:p>
      <w:pPr>
        <w:spacing w:before="200" w:after="60"/>
      </w:pPr>
      <w:r>
        <w:rPr>
          <w:rFonts w:ascii="Calibri" w:hAnsi="Calibri"/>
          <w:b/>
          <w:color w:val="1A73E8"/>
          <w:sz w:val="26"/>
        </w:rPr>
        <w:t>23-minute flow</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00:00-04:00</w:t>
      </w:r>
      <w:r>
        <w:rPr>
          <w:rFonts w:ascii="Calibri" w:hAnsi="Calibri"/>
          <w:b w:val="0"/>
          <w:i w:val="0"/>
          <w:color w:val="333333"/>
          <w:sz w:val="22"/>
        </w:rPr>
        <w:t>: Why MCP governance is a security problem</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04:00-09:00</w:t>
      </w:r>
      <w:r>
        <w:rPr>
          <w:rFonts w:ascii="Calibri" w:hAnsi="Calibri"/>
          <w:b w:val="0"/>
          <w:i w:val="0"/>
          <w:color w:val="333333"/>
          <w:sz w:val="22"/>
        </w:rPr>
        <w:t>: What belongs at the server boundary</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09:00-14:00</w:t>
      </w:r>
      <w:r>
        <w:rPr>
          <w:rFonts w:ascii="Calibri" w:hAnsi="Calibri"/>
          <w:b w:val="0"/>
          <w:i w:val="0"/>
          <w:color w:val="333333"/>
          <w:sz w:val="22"/>
        </w:rPr>
        <w:t>: Read-only first and authorization scope</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14:00-18:00</w:t>
      </w:r>
      <w:r>
        <w:rPr>
          <w:rFonts w:ascii="Calibri" w:hAnsi="Calibri"/>
          <w:b w:val="0"/>
          <w:i w:val="0"/>
          <w:color w:val="333333"/>
          <w:sz w:val="22"/>
        </w:rPr>
        <w:t>: Live read-only HR database demo</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18:00-21:00</w:t>
      </w:r>
      <w:r>
        <w:rPr>
          <w:rFonts w:ascii="Calibri" w:hAnsi="Calibri"/>
          <w:b w:val="0"/>
          <w:i w:val="0"/>
          <w:color w:val="333333"/>
          <w:sz w:val="22"/>
        </w:rPr>
        <w:t>: Risk review and control checklist</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21:00-23:00</w:t>
      </w:r>
      <w:r>
        <w:rPr>
          <w:rFonts w:ascii="Calibri" w:hAnsi="Calibri"/>
          <w:b w:val="0"/>
          <w:i w:val="0"/>
          <w:color w:val="333333"/>
          <w:sz w:val="22"/>
        </w:rPr>
        <w:t>: Debrief and bridge to Session 15</w:t>
      </w:r>
    </w:p>
    <w:p>
      <w:pPr>
        <w:spacing w:before="200" w:after="60"/>
      </w:pPr>
      <w:r>
        <w:rPr>
          <w:rFonts w:ascii="Calibri" w:hAnsi="Calibri"/>
          <w:b/>
          <w:color w:val="1A73E8"/>
          <w:sz w:val="26"/>
        </w:rPr>
        <w:t>Key takeaway</w:t>
      </w:r>
    </w:p>
    <w:p>
      <w:pPr>
        <w:spacing w:before="0" w:after="80" w:line="276" w:lineRule="auto"/>
      </w:pPr>
      <w:r>
        <w:rPr>
          <w:rFonts w:ascii="Calibri" w:hAnsi="Calibri"/>
          <w:b w:val="0"/>
          <w:i w:val="0"/>
          <w:color w:val="333333"/>
          <w:sz w:val="22"/>
        </w:rPr>
        <w:t>If MCP is the bridge to real systems, then MCP governance is the guardrail on that bridge. The server, not the prompt, is where the enterprise should enforce trust.</w:t>
      </w:r>
    </w:p>
    <w:p>
      <w:pPr>
        <w:spacing w:before="120" w:after="120"/>
      </w:pPr>
      <w:r>
        <w:rPr>
          <w:rFonts w:ascii="Calibri" w:hAnsi="Calibri"/>
          <w:color w:val="E86C00"/>
          <w:sz w:val="12"/>
        </w:rPr>
        <w:t>───────────────────────────────────────────────────────</w:t>
      </w:r>
    </w:p>
    <w:p>
      <w:pPr>
        <w:spacing w:before="240" w:after="80"/>
      </w:pPr>
      <w:r>
        <w:rPr>
          <w:rFonts w:ascii="Calibri" w:hAnsi="Calibri"/>
          <w:b/>
          <w:color w:val="0B2A4A"/>
          <w:sz w:val="32"/>
        </w:rPr>
        <w:t>Demo Blueprints</w:t>
      </w:r>
    </w:p>
    <w:p>
      <w:pPr>
        <w:spacing w:before="240" w:after="80"/>
      </w:pPr>
      <w:r>
        <w:rPr>
          <w:rFonts w:ascii="Calibri" w:hAnsi="Calibri"/>
          <w:b/>
          <w:color w:val="0B2A4A"/>
          <w:sz w:val="32"/>
        </w:rPr>
        <w:t>Session 14</w:t>
      </w:r>
    </w:p>
    <w:p>
      <w:pPr>
        <w:spacing w:before="240" w:after="80"/>
      </w:pPr>
      <w:r>
        <w:rPr>
          <w:rFonts w:ascii="Calibri" w:hAnsi="Calibri"/>
          <w:b/>
          <w:color w:val="0B2A4A"/>
          <w:sz w:val="32"/>
        </w:rPr>
        <w:t>Secure MCP Governance</w:t>
      </w:r>
    </w:p>
    <w:p>
      <w:pPr>
        <w:spacing w:before="200" w:after="60"/>
      </w:pPr>
      <w:r>
        <w:rPr>
          <w:rFonts w:ascii="Calibri" w:hAnsi="Calibri"/>
          <w:b/>
          <w:color w:val="1A73E8"/>
          <w:sz w:val="26"/>
        </w:rPr>
        <w:t>Demo 01</w:t>
      </w:r>
    </w:p>
    <w:p>
      <w:pPr>
        <w:spacing w:before="240" w:after="80"/>
      </w:pPr>
      <w:r>
        <w:rPr>
          <w:rFonts w:ascii="Calibri" w:hAnsi="Calibri"/>
          <w:b/>
          <w:color w:val="0B2A4A"/>
          <w:sz w:val="32"/>
        </w:rPr>
        <w:t>Read-only HR database server</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the safest first step for an internal MCP integration.</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Connect a simulated HR database MCP server.</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Expose only read-only queries.</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Query a safe example record.</w:t>
      </w:r>
    </w:p>
    <w:p>
      <w:pPr>
        <w:ind w:left="340" w:hanging="283"/>
        <w:spacing w:before="0" w:after="40" w:line="276" w:lineRule="auto"/>
      </w:pPr>
      <w:r>
        <w:rPr>
          <w:rFonts w:ascii="Calibri" w:hAnsi="Calibri"/>
          <w:b/>
          <w:color w:val="1A73E8"/>
          <w:sz w:val="22"/>
        </w:rPr>
        <w:t xml:space="preserve">4.  </w:t>
      </w:r>
      <w:r>
        <w:rPr>
          <w:rFonts w:ascii="Calibri" w:hAnsi="Calibri"/>
          <w:b w:val="0"/>
          <w:i w:val="0"/>
          <w:color w:val="333333"/>
          <w:sz w:val="22"/>
        </w:rPr>
        <w:t>Explain which actions are intentionally unavailable.</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read-only is the right default for first rollout</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server defines the boundary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logs and scopes matter as much as the query itself</w:t>
      </w:r>
    </w:p>
    <w:p>
      <w:pPr>
        <w:spacing w:before="200" w:after="60"/>
      </w:pPr>
      <w:r>
        <w:rPr>
          <w:rFonts w:ascii="Calibri" w:hAnsi="Calibri"/>
          <w:b/>
          <w:color w:val="1A73E8"/>
          <w:sz w:val="26"/>
        </w:rPr>
        <w:t>Demo 02</w:t>
      </w:r>
    </w:p>
    <w:p>
      <w:pPr>
        <w:spacing w:before="240" w:after="80"/>
      </w:pPr>
      <w:r>
        <w:rPr>
          <w:rFonts w:ascii="Calibri" w:hAnsi="Calibri"/>
          <w:b/>
          <w:color w:val="0B2A4A"/>
          <w:sz w:val="32"/>
        </w:rPr>
        <w:t>Governance hardening checklist</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that the quality of the integration depends on controls below the prompt.</w:t>
      </w:r>
    </w:p>
    <w:p>
      <w:pPr>
        <w:spacing w:before="200" w:after="60"/>
      </w:pPr>
      <w:r>
        <w:rPr>
          <w:rFonts w:ascii="Calibri" w:hAnsi="Calibri"/>
          <w:b/>
          <w:color w:val="1A73E8"/>
          <w:sz w:val="26"/>
        </w:rPr>
        <w:t>Suggested flow</w:t>
      </w:r>
    </w:p>
    <w:p>
      <w:pPr>
        <w:spacing w:before="0" w:after="80" w:line="276" w:lineRule="auto"/>
      </w:pPr>
      <w:r>
        <w:rPr>
          <w:rFonts w:ascii="Calibri" w:hAnsi="Calibri"/>
          <w:b w:val="0"/>
          <w:i w:val="0"/>
          <w:color w:val="333333"/>
          <w:sz w:val="22"/>
        </w:rPr>
        <w:t>Ask Claude to review the MCP server policy with constraints like: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no write tools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limited scopes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mandatory logging</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explicit ownership of credentials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deny by default</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trust must be scoped and auditable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prompt is not the enforcement layer</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a weak server invalidates the integration</w:t>
      </w:r>
    </w:p>
    <w:p>
      <w:pPr>
        <w:spacing w:before="200" w:after="60"/>
      </w:pPr>
      <w:r>
        <w:rPr>
          <w:rFonts w:ascii="Calibri" w:hAnsi="Calibri"/>
          <w:b/>
          <w:color w:val="1A73E8"/>
          <w:sz w:val="26"/>
        </w:rPr>
        <w:t>Demo 03</w:t>
      </w:r>
    </w:p>
    <w:p>
      <w:pPr>
        <w:spacing w:before="240" w:after="80"/>
      </w:pPr>
      <w:r>
        <w:rPr>
          <w:rFonts w:ascii="Calibri" w:hAnsi="Calibri"/>
          <w:b/>
          <w:color w:val="0B2A4A"/>
          <w:sz w:val="32"/>
        </w:rPr>
        <w:t>Poisoned content / denial boundary</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that hostile or misleading upstream content should not be able to silently expand capability.</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Present a malicious or misleading HR record or ticket description.</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Claude how the server should respond.</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Show the boundary condition: deny, redact, or require approval rather than blindly passing through.</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data can be hostile even if it comes from an internal system</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server should enforce what the model may not infer</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Session 14 is about reducing trust, not expanding it</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14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