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14: Secure MCP Governance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14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Secure MCP Governance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Connect Claude Code to tools via MCP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https://code.claude.com/docs/en/mcp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current Anthropic guidance on MCP setup, server configuration, and the basic workflow for connecting tools to Claude Code.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Permissions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https://code.claude.com/docs/en/permissions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explains how permission modes fit into the broader control model and why approval and scope are not the same thing as trust.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https://code.claude.com/docs/en/security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Anthropic’s current security framing, including why external systems and tool access require explicit care.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Model Context Protocol, Authorization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https://modelcontextprotocol.io/specification/2025-03-26/basic/authorization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defines the authorization layer that should exist when an MCP server exposes sensitive capabilities.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Model Context Protocol, Security best practices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https://modelcontextprotocol.io/docs/tutorials/security/security_best_practices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highlights practical controls for securing MCP integrations, with emphasis on minimizing trust and protecting data boundaries.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SP 800-207, Zero Trust Architecture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https://csrc.nist.gov/pubs/sp/800/207/final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provides the architectural framing for treating the MCP server as a protected resource rather than assuming internal placement equals safety.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Review one candidate MCP integration in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is the smallest safe scope to expose first?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should remain read-only until a later phase?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logging and ownership data would security or platform engineering require before approval?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14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