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spacing w:before="0" w:after="0"/>
      </w:pPr>
    </w:p>
    <w:p>
      <w:pPr>
        <w:spacing w:before="0" w:after="80"/>
      </w:pPr>
      <w:r>
        <w:rPr>
          <w:rFonts w:ascii="Calibri" w:hAnsi="Calibri"/>
          <w:color w:val="E86C00"/>
          <w:sz w:val="12"/>
        </w:rPr>
        <w:t>───────────────────────────────────────────────────────</w:t>
      </w:r>
    </w:p>
    <w:p>
      <w:pPr>
        <w:spacing w:before="0" w:after="80"/>
      </w:pPr>
      <w:r>
        <w:rPr>
          <w:rFonts w:ascii="Calibri" w:hAnsi="Calibri"/>
          <w:b/>
          <w:color w:val="0B2A4A"/>
          <w:sz w:val="28"/>
        </w:rPr>
        <w:t>INTEGRAL DRAGON</w:t>
      </w:r>
    </w:p>
    <w:p>
      <w:pPr>
        <w:spacing w:before="0" w:after="120"/>
      </w:pPr>
      <w:r>
        <w:rPr>
          <w:rFonts w:ascii="Calibri" w:hAnsi="Calibri"/>
          <w:b/>
          <w:color w:val="0B2A4A"/>
          <w:sz w:val="52"/>
        </w:rPr>
        <w:t>Session 15: Code Review and Cognitive Debt Mitigation</w:t>
      </w:r>
    </w:p>
    <w:p>
      <w:pPr>
        <w:spacing w:before="0" w:after="120"/>
      </w:pPr>
      <w:r>
        <w:rPr>
          <w:rFonts w:ascii="Calibri" w:hAnsi="Calibri"/>
          <w:color w:val="1A73E8"/>
          <w:sz w:val="26"/>
        </w:rPr>
        <w:t>Facilitator Brief — Speaking Notes, Pacing &amp; Demo Sequence</w:t>
      </w:r>
    </w:p>
    <w:p>
      <w:pPr>
        <w:spacing w:before="0" w:after="80"/>
      </w:pPr>
      <w:r>
        <w:rPr>
          <w:rFonts w:ascii="Calibri" w:hAnsi="Calibri"/>
          <w:color w:val="E86C00"/>
          <w:sz w:val="12"/>
        </w:rPr>
        <w:t>───────────────────────────────────────────────────────</w:t>
      </w:r>
    </w:p>
    <w:p>
      <w:pPr>
        <w:spacing w:before="0" w:after="400"/>
      </w:pPr>
      <w:r>
        <w:rPr>
          <w:rFonts w:ascii="Calibri" w:hAnsi="Calibri"/>
          <w:i/>
          <w:color w:val="666666"/>
          <w:sz w:val="20"/>
        </w:rPr>
        <w:t>Prepared by Integral Dragon</w:t>
      </w:r>
    </w:p>
    <w:p>
      <w:pPr>
        <w:spacing w:before="240" w:after="80"/>
      </w:pPr>
      <w:r>
        <w:rPr>
          <w:rFonts w:ascii="Calibri" w:hAnsi="Calibri"/>
          <w:b/>
          <w:color w:val="0B2A4A"/>
          <w:sz w:val="32"/>
        </w:rPr>
        <w:t>Session 15</w:t>
      </w:r>
    </w:p>
    <w:p>
      <w:pPr>
        <w:spacing w:before="240" w:after="80"/>
      </w:pPr>
      <w:r>
        <w:rPr>
          <w:rFonts w:ascii="Calibri" w:hAnsi="Calibri"/>
          <w:b/>
          <w:color w:val="0B2A4A"/>
          <w:sz w:val="32"/>
        </w:rPr>
        <w:t>Code Review and Cognitive Debt Mitigation</w:t>
      </w:r>
    </w:p>
    <w:p>
      <w:pPr>
        <w:spacing w:before="200" w:after="60"/>
      </w:pPr>
      <w:r>
        <w:rPr>
          <w:rFonts w:ascii="Calibri" w:hAnsi="Calibri"/>
          <w:b/>
          <w:color w:val="1A73E8"/>
          <w:sz w:val="26"/>
        </w:rPr>
        <w:t>Purpose</w:t>
      </w:r>
    </w:p>
    <w:p>
      <w:pPr>
        <w:spacing w:before="0" w:after="80" w:line="276" w:lineRule="auto"/>
      </w:pPr>
      <w:r>
        <w:rPr>
          <w:rFonts w:ascii="Calibri" w:hAnsi="Calibri"/>
          <w:b w:val="0"/>
          <w:i w:val="0"/>
          <w:color w:val="333333"/>
          <w:sz w:val="22"/>
        </w:rPr>
        <w:t>Teach students how to review AI-generated diffs for structural soundness, not just syntax correctness, and how to recognize cognitive debt and automation bias before they turn into team-wide habits.</w:t>
      </w:r>
    </w:p>
    <w:p>
      <w:pPr>
        <w:spacing w:before="200" w:after="60"/>
      </w:pPr>
      <w:r>
        <w:rPr>
          <w:rFonts w:ascii="Calibri" w:hAnsi="Calibri"/>
          <w:b/>
          <w:color w:val="1A73E8"/>
          <w:sz w:val="26"/>
        </w:rPr>
        <w:t>Why this session matters</w:t>
      </w:r>
    </w:p>
    <w:p>
      <w:pPr>
        <w:spacing w:before="0" w:after="80" w:line="276" w:lineRule="auto"/>
      </w:pPr>
      <w:r>
        <w:rPr>
          <w:rFonts w:ascii="Calibri" w:hAnsi="Calibri"/>
          <w:b w:val="0"/>
          <w:i w:val="0"/>
          <w:color w:val="333333"/>
          <w:sz w:val="22"/>
        </w:rPr>
        <w:t>AI can produce code that compiles, tests, and still quietly breaks the architecture. The risk is not only bad code. It is human overconfidence in code that looks polished. Review has to move beyond “does it run?” and into “do we understand what this change really does?”</w:t>
      </w:r>
    </w:p>
    <w:p>
      <w:pPr>
        <w:spacing w:before="200" w:after="60"/>
      </w:pPr>
      <w:r>
        <w:rPr>
          <w:rFonts w:ascii="Calibri" w:hAnsi="Calibri"/>
          <w:b/>
          <w:color w:val="1A73E8"/>
          <w:sz w:val="26"/>
        </w:rPr>
        <w:t>Learning outcomes</w:t>
      </w:r>
    </w:p>
    <w:p>
      <w:pPr>
        <w:spacing w:before="0" w:after="80" w:line="276" w:lineRule="auto"/>
      </w:pPr>
      <w:r>
        <w:rPr>
          <w:rFonts w:ascii="Calibri" w:hAnsi="Calibri"/>
          <w:b w:val="0"/>
          <w:i w:val="0"/>
          <w:color w:val="333333"/>
          <w:sz w:val="22"/>
        </w:rPr>
        <w:t>By the end of this session, students should be able to:</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explain why passing tests do not prove structural soundness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identify the difference between syntax quality and architectural safety</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review an AI-generated diff for hidden logic, boundary, or integration failures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recognize automation bias in their own review behavior</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describe how cognitive debt accumulates when teams approve code they do not fully understand</w:t>
      </w:r>
    </w:p>
    <w:p>
      <w:pPr>
        <w:spacing w:before="200" w:after="60"/>
      </w:pPr>
      <w:r>
        <w:rPr>
          <w:rFonts w:ascii="Calibri" w:hAnsi="Calibri"/>
          <w:b/>
          <w:color w:val="1A73E8"/>
          <w:sz w:val="26"/>
        </w:rPr>
        <w:t>Core ideas</w:t>
      </w:r>
    </w:p>
    <w:p>
      <w:pPr>
        <w:spacing w:before="160" w:after="40"/>
      </w:pPr>
      <w:r>
        <w:rPr>
          <w:rFonts w:ascii="Calibri" w:hAnsi="Calibri"/>
          <w:b/>
          <w:color w:val="1A73E8"/>
          <w:sz w:val="22"/>
        </w:rPr>
        <w:t>1. Tests are evidence, not proof</w:t>
      </w:r>
    </w:p>
    <w:p>
      <w:pPr>
        <w:spacing w:before="0" w:after="80" w:line="276" w:lineRule="auto"/>
      </w:pPr>
      <w:r>
        <w:rPr>
          <w:rFonts w:ascii="Calibri" w:hAnsi="Calibri"/>
          <w:b w:val="0"/>
          <w:i w:val="0"/>
          <w:color w:val="333333"/>
          <w:sz w:val="22"/>
        </w:rPr>
        <w:t>Passing tests are useful, but they only cover the cases the tests actually express. A clean test run does not guarantee the change preserved the intended structure, invariants, or operational behavior.</w:t>
      </w:r>
    </w:p>
    <w:p>
      <w:pPr>
        <w:spacing w:before="160" w:after="40"/>
      </w:pPr>
      <w:r>
        <w:rPr>
          <w:rFonts w:ascii="Calibri" w:hAnsi="Calibri"/>
          <w:b/>
          <w:color w:val="1A73E8"/>
          <w:sz w:val="22"/>
        </w:rPr>
        <w:t>2. Review must examine the load-bearing behavior</w:t>
      </w:r>
    </w:p>
    <w:p>
      <w:pPr>
        <w:spacing w:before="0" w:after="80" w:line="276" w:lineRule="auto"/>
      </w:pPr>
      <w:r>
        <w:rPr>
          <w:rFonts w:ascii="Calibri" w:hAnsi="Calibri"/>
          <w:b w:val="0"/>
          <w:i w:val="0"/>
          <w:color w:val="333333"/>
          <w:sz w:val="22"/>
        </w:rPr>
        <w:t>The most dangerous AI bugs are often not syntax mistakes. They are subtle changes to control flow, data ownership, assumptions, or failure handling that still look tidy in a diff.</w:t>
      </w:r>
    </w:p>
    <w:p>
      <w:pPr>
        <w:spacing w:before="160" w:after="40"/>
      </w:pPr>
      <w:r>
        <w:rPr>
          <w:rFonts w:ascii="Calibri" w:hAnsi="Calibri"/>
          <w:b/>
          <w:color w:val="1A73E8"/>
          <w:sz w:val="22"/>
        </w:rPr>
        <w:t>3. Automation bias is a real review risk</w:t>
      </w:r>
    </w:p>
    <w:p>
      <w:pPr>
        <w:spacing w:before="0" w:after="80" w:line="276" w:lineRule="auto"/>
      </w:pPr>
      <w:r>
        <w:rPr>
          <w:rFonts w:ascii="Calibri" w:hAnsi="Calibri"/>
          <w:b w:val="0"/>
          <w:i w:val="0"/>
          <w:color w:val="333333"/>
          <w:sz w:val="22"/>
        </w:rPr>
        <w:t>When code looks fluent and the AI sounds confident, reviewers tend to trust the output too quickly. That is how weak reasoning slips past human oversight.</w:t>
      </w:r>
    </w:p>
    <w:p>
      <w:pPr>
        <w:spacing w:before="160" w:after="40"/>
      </w:pPr>
      <w:r>
        <w:rPr>
          <w:rFonts w:ascii="Calibri" w:hAnsi="Calibri"/>
          <w:b/>
          <w:color w:val="1A73E8"/>
          <w:sz w:val="22"/>
        </w:rPr>
        <w:t>4. Cognitive debt compounds quietly</w:t>
      </w:r>
    </w:p>
    <w:p>
      <w:pPr>
        <w:spacing w:before="0" w:after="80" w:line="276" w:lineRule="auto"/>
      </w:pPr>
      <w:r>
        <w:rPr>
          <w:rFonts w:ascii="Calibri" w:hAnsi="Calibri"/>
          <w:b w:val="0"/>
          <w:i w:val="0"/>
          <w:color w:val="333333"/>
          <w:sz w:val="22"/>
        </w:rPr>
        <w:t>Every time a reviewer approves code they do not really understand, the team increases the amount of implicit knowledge it must carry forward. The repo gets bigger, but comprehension gets thinner.</w:t>
      </w:r>
    </w:p>
    <w:p>
      <w:pPr>
        <w:spacing w:before="160" w:after="40"/>
      </w:pPr>
      <w:r>
        <w:rPr>
          <w:rFonts w:ascii="Calibri" w:hAnsi="Calibri"/>
          <w:b/>
          <w:color w:val="1A73E8"/>
          <w:sz w:val="22"/>
        </w:rPr>
        <w:t>5. Good review has a checklist and a position</w:t>
      </w:r>
    </w:p>
    <w:p>
      <w:pPr>
        <w:spacing w:before="0" w:after="80" w:line="276" w:lineRule="auto"/>
      </w:pPr>
      <w:r>
        <w:rPr>
          <w:rFonts w:ascii="Calibri" w:hAnsi="Calibri"/>
          <w:b w:val="0"/>
          <w:i w:val="0"/>
          <w:color w:val="333333"/>
          <w:sz w:val="22"/>
        </w:rPr>
        <w:t>A good reviewer knows what to look for, what not to trust, and how to say “this is structurally risky” with specific evidence.</w:t>
      </w:r>
    </w:p>
    <w:p>
      <w:pPr>
        <w:spacing w:before="200" w:after="60"/>
      </w:pPr>
      <w:r>
        <w:rPr>
          <w:rFonts w:ascii="Calibri" w:hAnsi="Calibri"/>
          <w:b/>
          <w:color w:val="1A73E8"/>
          <w:sz w:val="26"/>
        </w:rPr>
        <w:t>Engineering implications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review comments should focus on structural risk, not just style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AI-generated code needs human ownership, not passive acceptance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small diffs are easier to reason about and review</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tests should be paired with architecture and logic review</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Session 15 prepares the cohort for Session 16’s auditability and traceability concerns</w:t>
      </w:r>
    </w:p>
    <w:p>
      <w:pPr>
        <w:spacing w:before="200" w:after="60"/>
      </w:pPr>
      <w:r>
        <w:rPr>
          <w:rFonts w:ascii="Calibri" w:hAnsi="Calibri"/>
          <w:b/>
          <w:color w:val="1A73E8"/>
          <w:sz w:val="26"/>
        </w:rPr>
        <w:t>23-minute flow</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00:00-04:00</w:t>
      </w:r>
      <w:r>
        <w:rPr>
          <w:rFonts w:ascii="Calibri" w:hAnsi="Calibri"/>
          <w:b w:val="0"/>
          <w:i w:val="0"/>
          <w:color w:val="333333"/>
          <w:sz w:val="22"/>
        </w:rPr>
        <w:t>: Why green tests are not enough</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04:00-09:00</w:t>
      </w:r>
      <w:r>
        <w:rPr>
          <w:rFonts w:ascii="Calibri" w:hAnsi="Calibri"/>
          <w:b w:val="0"/>
          <w:i w:val="0"/>
          <w:color w:val="333333"/>
          <w:sz w:val="22"/>
        </w:rPr>
        <w:t>: Structural diff review versus syntax review</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09:00-14:00</w:t>
      </w:r>
      <w:r>
        <w:rPr>
          <w:rFonts w:ascii="Calibri" w:hAnsi="Calibri"/>
          <w:b w:val="0"/>
          <w:i w:val="0"/>
          <w:color w:val="333333"/>
          <w:sz w:val="22"/>
        </w:rPr>
        <w:t>: Automation bias and cognitive debt</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14:00-18:00</w:t>
      </w:r>
      <w:r>
        <w:rPr>
          <w:rFonts w:ascii="Calibri" w:hAnsi="Calibri"/>
          <w:b w:val="0"/>
          <w:i w:val="0"/>
          <w:color w:val="333333"/>
          <w:sz w:val="22"/>
        </w:rPr>
        <w:t>: Live AI diff review demo</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18:00-21:00</w:t>
      </w:r>
      <w:r>
        <w:rPr>
          <w:rFonts w:ascii="Calibri" w:hAnsi="Calibri"/>
          <w:b w:val="0"/>
          <w:i w:val="0"/>
          <w:color w:val="333333"/>
          <w:sz w:val="22"/>
        </w:rPr>
        <w:t>: Writing high-signal review comments</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21:00-23:00</w:t>
      </w:r>
      <w:r>
        <w:rPr>
          <w:rFonts w:ascii="Calibri" w:hAnsi="Calibri"/>
          <w:b w:val="0"/>
          <w:i w:val="0"/>
          <w:color w:val="333333"/>
          <w:sz w:val="22"/>
        </w:rPr>
        <w:t>: Debrief and bridge to Session 16</w:t>
      </w:r>
    </w:p>
    <w:p>
      <w:pPr>
        <w:spacing w:before="200" w:after="60"/>
      </w:pPr>
      <w:r>
        <w:rPr>
          <w:rFonts w:ascii="Calibri" w:hAnsi="Calibri"/>
          <w:b/>
          <w:color w:val="1A73E8"/>
          <w:sz w:val="26"/>
        </w:rPr>
        <w:t>Key takeaway</w:t>
      </w:r>
    </w:p>
    <w:p>
      <w:pPr>
        <w:spacing w:before="0" w:after="80" w:line="276" w:lineRule="auto"/>
      </w:pPr>
      <w:r>
        <w:rPr>
          <w:rFonts w:ascii="Calibri" w:hAnsi="Calibri"/>
          <w:b w:val="0"/>
          <w:i w:val="0"/>
          <w:color w:val="333333"/>
          <w:sz w:val="22"/>
        </w:rPr>
        <w:t>If a reviewer cannot explain the change in their own words, the review is not done. Understanding is the deliverable, not just approval.</w:t>
      </w:r>
    </w:p>
    <w:p>
      <w:pPr>
        <w:spacing w:before="120" w:after="120"/>
      </w:pPr>
      <w:r>
        <w:rPr>
          <w:rFonts w:ascii="Calibri" w:hAnsi="Calibri"/>
          <w:color w:val="E86C00"/>
          <w:sz w:val="12"/>
        </w:rPr>
        <w:t>───────────────────────────────────────────────────────</w:t>
      </w:r>
    </w:p>
    <w:p>
      <w:pPr>
        <w:spacing w:before="240" w:after="80"/>
      </w:pPr>
      <w:r>
        <w:rPr>
          <w:rFonts w:ascii="Calibri" w:hAnsi="Calibri"/>
          <w:b/>
          <w:color w:val="0B2A4A"/>
          <w:sz w:val="32"/>
        </w:rPr>
        <w:t>Demo Blueprints</w:t>
      </w:r>
    </w:p>
    <w:p>
      <w:pPr>
        <w:spacing w:before="240" w:after="80"/>
      </w:pPr>
      <w:r>
        <w:rPr>
          <w:rFonts w:ascii="Calibri" w:hAnsi="Calibri"/>
          <w:b/>
          <w:color w:val="0B2A4A"/>
          <w:sz w:val="32"/>
        </w:rPr>
        <w:t>Session 15</w:t>
      </w:r>
    </w:p>
    <w:p>
      <w:pPr>
        <w:spacing w:before="240" w:after="80"/>
      </w:pPr>
      <w:r>
        <w:rPr>
          <w:rFonts w:ascii="Calibri" w:hAnsi="Calibri"/>
          <w:b/>
          <w:color w:val="0B2A4A"/>
          <w:sz w:val="32"/>
        </w:rPr>
        <w:t>Code Review and Cognitive Debt Mitigation</w:t>
      </w:r>
    </w:p>
    <w:p>
      <w:pPr>
        <w:spacing w:before="200" w:after="60"/>
      </w:pPr>
      <w:r>
        <w:rPr>
          <w:rFonts w:ascii="Calibri" w:hAnsi="Calibri"/>
          <w:b/>
          <w:color w:val="1A73E8"/>
          <w:sz w:val="26"/>
        </w:rPr>
        <w:t>Demo 01</w:t>
      </w:r>
    </w:p>
    <w:p>
      <w:pPr>
        <w:spacing w:before="240" w:after="80"/>
      </w:pPr>
      <w:r>
        <w:rPr>
          <w:rFonts w:ascii="Calibri" w:hAnsi="Calibri"/>
          <w:b/>
          <w:color w:val="0B2A4A"/>
          <w:sz w:val="32"/>
        </w:rPr>
        <w:t>Review the AI diff, not the AI story</w:t>
      </w:r>
    </w:p>
    <w:p>
      <w:pPr>
        <w:spacing w:before="200" w:after="60"/>
      </w:pPr>
      <w:r>
        <w:rPr>
          <w:rFonts w:ascii="Calibri" w:hAnsi="Calibri"/>
          <w:b/>
          <w:color w:val="1A73E8"/>
          <w:sz w:val="26"/>
        </w:rPr>
        <w:t>Goal</w:t>
      </w:r>
    </w:p>
    <w:p>
      <w:pPr>
        <w:spacing w:before="0" w:after="80" w:line="276" w:lineRule="auto"/>
      </w:pPr>
      <w:r>
        <w:rPr>
          <w:rFonts w:ascii="Calibri" w:hAnsi="Calibri"/>
          <w:b w:val="0"/>
          <w:i w:val="0"/>
          <w:color w:val="333333"/>
          <w:sz w:val="22"/>
        </w:rPr>
        <w:t>Show that the same diff can look safe until the reviewer examines behavior and structure.</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Present a short AI-generated PR or synthetic diff.</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Ask Claude to summarize what changed.</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Switch to a human review lens and ask what the change actually does.</w:t>
      </w:r>
    </w:p>
    <w:p>
      <w:pPr>
        <w:ind w:left="340" w:hanging="283"/>
        <w:spacing w:before="0" w:after="40" w:line="276" w:lineRule="auto"/>
      </w:pPr>
      <w:r>
        <w:rPr>
          <w:rFonts w:ascii="Calibri" w:hAnsi="Calibri"/>
          <w:b/>
          <w:color w:val="1A73E8"/>
          <w:sz w:val="22"/>
        </w:rPr>
        <w:t xml:space="preserve">4.  </w:t>
      </w:r>
      <w:r>
        <w:rPr>
          <w:rFonts w:ascii="Calibri" w:hAnsi="Calibri"/>
          <w:b w:val="0"/>
          <w:i w:val="0"/>
          <w:color w:val="333333"/>
          <w:sz w:val="22"/>
        </w:rPr>
        <w:t>Identify one load-bearing logic flaw or boundary problem.</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polished text is not proof</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structure matters more than explanation quality</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the reviewer must validate the mental model</w:t>
      </w:r>
    </w:p>
    <w:p>
      <w:pPr>
        <w:spacing w:before="200" w:after="60"/>
      </w:pPr>
      <w:r>
        <w:rPr>
          <w:rFonts w:ascii="Calibri" w:hAnsi="Calibri"/>
          <w:b/>
          <w:color w:val="1A73E8"/>
          <w:sz w:val="26"/>
        </w:rPr>
        <w:t>Demo 02</w:t>
      </w:r>
    </w:p>
    <w:p>
      <w:pPr>
        <w:spacing w:before="240" w:after="80"/>
      </w:pPr>
      <w:r>
        <w:rPr>
          <w:rFonts w:ascii="Calibri" w:hAnsi="Calibri"/>
          <w:b/>
          <w:color w:val="0B2A4A"/>
          <w:sz w:val="32"/>
        </w:rPr>
        <w:t>Tests passed, review still failed</w:t>
      </w:r>
    </w:p>
    <w:p>
      <w:pPr>
        <w:spacing w:before="200" w:after="60"/>
      </w:pPr>
      <w:r>
        <w:rPr>
          <w:rFonts w:ascii="Calibri" w:hAnsi="Calibri"/>
          <w:b/>
          <w:color w:val="1A73E8"/>
          <w:sz w:val="26"/>
        </w:rPr>
        <w:t>Goal</w:t>
      </w:r>
    </w:p>
    <w:p>
      <w:pPr>
        <w:spacing w:before="0" w:after="80" w:line="276" w:lineRule="auto"/>
      </w:pPr>
      <w:r>
        <w:rPr>
          <w:rFonts w:ascii="Calibri" w:hAnsi="Calibri"/>
          <w:b w:val="0"/>
          <w:i w:val="0"/>
          <w:color w:val="333333"/>
          <w:sz w:val="22"/>
        </w:rPr>
        <w:t>Show that passing tests are useful but incomplete evidence.</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Present a change with passing tests.</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Ask which assumptions the test suite did not prove.</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Ask which business behavior or boundary still needs verification.</w:t>
      </w:r>
    </w:p>
    <w:p>
      <w:pPr>
        <w:ind w:left="340" w:hanging="283"/>
        <w:spacing w:before="0" w:after="40" w:line="276" w:lineRule="auto"/>
      </w:pPr>
      <w:r>
        <w:rPr>
          <w:rFonts w:ascii="Calibri" w:hAnsi="Calibri"/>
          <w:b/>
          <w:color w:val="1A73E8"/>
          <w:sz w:val="22"/>
        </w:rPr>
        <w:t xml:space="preserve">4.  </w:t>
      </w:r>
      <w:r>
        <w:rPr>
          <w:rFonts w:ascii="Calibri" w:hAnsi="Calibri"/>
          <w:b w:val="0"/>
          <w:i w:val="0"/>
          <w:color w:val="333333"/>
          <w:sz w:val="22"/>
        </w:rPr>
        <w:t>Write a review comment that explains the missing structural check.</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tests are one signal, not the signal</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review should cover invariants and architecture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“green” does not mean “understood”</w:t>
      </w:r>
    </w:p>
    <w:p>
      <w:pPr>
        <w:spacing w:before="200" w:after="60"/>
      </w:pPr>
      <w:r>
        <w:rPr>
          <w:rFonts w:ascii="Calibri" w:hAnsi="Calibri"/>
          <w:b/>
          <w:color w:val="1A73E8"/>
          <w:sz w:val="26"/>
        </w:rPr>
        <w:t>Demo 03</w:t>
      </w:r>
    </w:p>
    <w:p>
      <w:pPr>
        <w:spacing w:before="240" w:after="80"/>
      </w:pPr>
      <w:r>
        <w:rPr>
          <w:rFonts w:ascii="Calibri" w:hAnsi="Calibri"/>
          <w:b/>
          <w:color w:val="0B2A4A"/>
          <w:sz w:val="32"/>
        </w:rPr>
        <w:t>Code reviewer subagent as a first pass, human as final owner</w:t>
      </w:r>
    </w:p>
    <w:p>
      <w:pPr>
        <w:spacing w:before="200" w:after="60"/>
      </w:pPr>
      <w:r>
        <w:rPr>
          <w:rFonts w:ascii="Calibri" w:hAnsi="Calibri"/>
          <w:b/>
          <w:color w:val="1A73E8"/>
          <w:sz w:val="26"/>
        </w:rPr>
        <w:t>Goal</w:t>
      </w:r>
    </w:p>
    <w:p>
      <w:pPr>
        <w:spacing w:before="0" w:after="80" w:line="276" w:lineRule="auto"/>
      </w:pPr>
      <w:r>
        <w:rPr>
          <w:rFonts w:ascii="Calibri" w:hAnsi="Calibri"/>
          <w:b w:val="0"/>
          <w:i w:val="0"/>
          <w:color w:val="333333"/>
          <w:sz w:val="22"/>
        </w:rPr>
        <w:t>Show how the built-in code-reviewer pattern can help without replacing human judgment.</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Invoke a review-oriented subagent or code reviewer workflow.</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Ask it to identify issues in a recent diff.</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Compare its findings to a human architectural review.</w:t>
      </w:r>
    </w:p>
    <w:p>
      <w:pPr>
        <w:ind w:left="340" w:hanging="283"/>
        <w:spacing w:before="0" w:after="40" w:line="276" w:lineRule="auto"/>
      </w:pPr>
      <w:r>
        <w:rPr>
          <w:rFonts w:ascii="Calibri" w:hAnsi="Calibri"/>
          <w:b/>
          <w:color w:val="1A73E8"/>
          <w:sz w:val="22"/>
        </w:rPr>
        <w:t xml:space="preserve">4.  </w:t>
      </w:r>
      <w:r>
        <w:rPr>
          <w:rFonts w:ascii="Calibri" w:hAnsi="Calibri"/>
          <w:b w:val="0"/>
          <w:i w:val="0"/>
          <w:color w:val="333333"/>
          <w:sz w:val="22"/>
        </w:rPr>
        <w:t>Note what the subagent saw and what the human still had to decide.</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subagents can accelerate review</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the human still owns understanding and approval</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the final call is about risk, not just issue count</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6" w:space="0" w:color="C0C0C0"/>
            <w:bottom w:val="none" w:sz="0" w:space="0" w:color="FFFFFF"/>
            <w:left w:val="none" w:sz="0" w:space="0" w:color="FFFFFF"/>
            <w:right w:val="none" w:sz="0" w:space="0" w:color="FFFFFF"/>
          </w:tcBorders>
        </w:tcPr>
        <w:p>
          <w:r>
            <w:rPr>
              <w:rFonts w:ascii="Calibri" w:hAnsi="Calibri"/>
              <w:color w:val="666666"/>
              <w:sz w:val="16"/>
            </w:rPr>
            <w:t>Integral Dragon  |  Confidential</w:t>
          </w:r>
        </w:p>
      </w:tc>
      <w:tc>
        <w:tcPr>
          <w:tcW w:type="dxa" w:w="4680"/>
          <w:tcBorders>
            <w:top w:val="single" w:sz="6" w:space="0" w:color="C0C0C0"/>
            <w:bottom w:val="none" w:sz="0" w:space="0" w:color="FFFFFF"/>
            <w:left w:val="none" w:sz="0" w:space="0" w:color="FFFFFF"/>
            <w:right w:val="none" w:sz="0" w:space="0" w:color="FFFFFF"/>
          </w:tcBorders>
        </w:tcPr>
        <w:p>
          <w:pPr>
            <w:jc w:val="right"/>
          </w:pPr>
          <w:r>
            <w:rPr>
              <w:color w:val="666666"/>
              <w:sz w:val="16"/>
            </w:rPr>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left"/>
      <w:tblLook w:firstColumn="1" w:firstRow="1" w:lastColumn="0" w:lastRow="0" w:noHBand="0" w:noVBand="1" w:val="04A0"/>
    </w:tblPr>
    <w:tblGrid>
      <w:gridCol w:w="4680"/>
      <w:gridCol w:w="4680"/>
    </w:tblGrid>
    <w:tr>
      <w:tc>
        <w:tcPr>
          <w:tcW w:type="dxa" w:w="4680"/>
          <w:tcBorders>
            <w:bottom w:val="single" w:sz="12" w:space="0" w:color="0B2A4A"/>
            <w:top w:val="none" w:sz="0" w:space="0" w:color="FFFFFF"/>
            <w:left w:val="none" w:sz="0" w:space="0" w:color="FFFFFF"/>
            <w:right w:val="none" w:sz="0" w:space="0" w:color="FFFFFF"/>
          </w:tcBorders>
        </w:tcPr>
        <w:p>
          <w:r>
            <w:rPr>
              <w:rFonts w:ascii="Calibri" w:hAnsi="Calibri"/>
              <w:b/>
              <w:color w:val="0B2A4A"/>
              <w:sz w:val="20"/>
            </w:rPr>
            <w:t>INTEGRAL DRAGON</w:t>
          </w:r>
        </w:p>
      </w:tc>
      <w:tc>
        <w:tcPr>
          <w:tcW w:type="dxa" w:w="4680"/>
          <w:tcBorders>
            <w:bottom w:val="single" w:sz="12" w:space="0" w:color="0B2A4A"/>
            <w:top w:val="none" w:sz="0" w:space="0" w:color="FFFFFF"/>
            <w:left w:val="none" w:sz="0" w:space="0" w:color="FFFFFF"/>
            <w:right w:val="none" w:sz="0" w:space="0" w:color="FFFFFF"/>
          </w:tcBorders>
        </w:tcPr>
        <w:p>
          <w:pPr>
            <w:jc w:val="right"/>
          </w:pPr>
          <w:r>
            <w:rPr>
              <w:rFonts w:ascii="Calibri" w:hAnsi="Calibri"/>
              <w:i/>
              <w:color w:val="666666"/>
              <w:sz w:val="18"/>
            </w:rPr>
            <w:t>Session 15 Facilitator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