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spacing w:before="0" w:after="0"/>
      </w:pP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rPr>
          <w:rFonts w:ascii="Calibri" w:hAnsi="Calibri"/>
          <w:b/>
          <w:color w:val="0B2A4A"/>
          <w:sz w:val="28"/>
        </w:rPr>
        <w:t>INTEGRAL DRAGON</w:t>
      </w:r>
    </w:p>
    <w:p>
      <w:pPr>
        <w:spacing w:before="0" w:after="120"/>
      </w:pPr>
      <w:r>
        <w:rPr>
          <w:rFonts w:ascii="Calibri" w:hAnsi="Calibri"/>
          <w:b/>
          <w:color w:val="0B2A4A"/>
          <w:sz w:val="52"/>
        </w:rPr>
        <w:t>Session 16: Auditability and Workflow Narration</w:t>
      </w:r>
    </w:p>
    <w:p>
      <w:pPr>
        <w:spacing w:before="0" w:after="120"/>
      </w:pPr>
      <w:r>
        <w:rPr>
          <w:rFonts w:ascii="Calibri" w:hAnsi="Calibri"/>
          <w:color w:val="1A73E8"/>
          <w:sz w:val="26"/>
        </w:rPr>
        <w:t>Reading List &amp; Resources</w:t>
      </w: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400"/>
      </w:pPr>
      <w:r>
        <w:rPr>
          <w:rFonts w:ascii="Calibri" w:hAnsi="Calibri"/>
          <w:i/>
          <w:color w:val="666666"/>
          <w:sz w:val="20"/>
        </w:rPr>
        <w:t>Prepared by Integral Dragon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16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Auditability and Workflow Narration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Verified on 2026-04-13. Primary sources are prioritized.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Core references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Docs, Monitoring usage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https://code.claude.com/docs/en/monitoring-usage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shows current event and prompt correlation signals, event-level analysis, and audit-trail-oriented telemetry guidance that can support reconstructable workflows.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Docs, Data usage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https://code.claude.com/docs/en/data-usage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documents what Claude Code logs, what may be retained, and how session and telemetry data behave across local and cloud execution.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Docs, Checkpointing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https://code.claude.com/docs/en/checkpointing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explains how Claude Code tracks file edits and allows rewind/undo, which is helpful context for preserving change history and reconstruction.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Strongly recommended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Docs, Zero data retention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https://code.claude.com/docs/en/zero-data-retention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important for understanding administrative controls, audit logs, and retention behavior in enterprise environments.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NIST AI RMF Playbook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https://www.nist.gov/itl/ai-risk-management-framework/nist-ai-rmf-playbook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current NIST guidance on using the AI RMF with documented practices and trustworthiness considerations across the AI lifecycle.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NIST AI RMF Playbook, Govern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https://airc.nist.gov/airmf-resources/playbook/govern/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emphasizes transparent policies, procedures, documentation, and accountability mechanisms that support auditability.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NIST AI RMF Playbook, Measure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https://airc.nist.gov/AI_RMF_Knowledge_Base/Playbook/Measure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documents measurement, transparency, and documentation practices that help teams make AI behavior reviewable and measurable.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NIST Special Publication 800-53 Revision 5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https://nvlpubs.nist.gov/nistpubs/SpecialPublications/NIST.SP.800-53r5.pdf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primary federal source for audit and accountability controls, including event logging and audit support expectations.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follow-through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Take one AI-assisted change and answer: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evidence would let another engineer reconstruct the decision path?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should be captured in the PR narration versus the session log?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would an auditor still ask for after reading the code itself?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color w:val="666666"/>
              <w:sz w:val="16"/>
            </w:rPr>
            <w:t>Integral Dragon  |  Confidential</w:t>
          </w:r>
        </w:p>
      </w:tc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color w:val="666666"/>
              <w:sz w:val="16"/>
            </w:rPr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b/>
              <w:color w:val="0B2A4A"/>
              <w:sz w:val="20"/>
            </w:rPr>
            <w:t>INTEGRAL DRAGON</w:t>
          </w:r>
        </w:p>
      </w:tc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rFonts w:ascii="Calibri" w:hAnsi="Calibri"/>
              <w:i/>
              <w:color w:val="666666"/>
              <w:sz w:val="18"/>
            </w:rPr>
            <w:t>Session 16 Reading List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