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spacing w:before="0" w:after="0"/>
      </w:pPr>
    </w:p>
    <w:p>
      <w:pPr>
        <w:spacing w:before="0" w:after="80"/>
      </w:pPr>
      <w:r>
        <w:rPr>
          <w:rFonts w:ascii="Calibri" w:hAnsi="Calibri"/>
          <w:color w:val="E86C00"/>
          <w:sz w:val="12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80"/>
      </w:pPr>
      <w:r>
        <w:rPr>
          <w:rFonts w:ascii="Calibri" w:hAnsi="Calibri"/>
          <w:b/>
          <w:color w:val="0B2A4A"/>
          <w:sz w:val="28"/>
        </w:rPr>
        <w:t>INTEGRAL DRAGON</w:t>
      </w:r>
    </w:p>
    <w:p>
      <w:pPr>
        <w:spacing w:before="0" w:after="120"/>
      </w:pPr>
      <w:r>
        <w:rPr>
          <w:rFonts w:ascii="Calibri" w:hAnsi="Calibri"/>
          <w:b/>
          <w:color w:val="0B2A4A"/>
          <w:sz w:val="52"/>
        </w:rPr>
        <w:t>Session 14: Secure MCP Governance</w:t>
      </w:r>
    </w:p>
    <w:p>
      <w:pPr>
        <w:spacing w:before="0" w:after="120"/>
      </w:pPr>
      <w:r>
        <w:rPr>
          <w:rFonts w:ascii="Calibri" w:hAnsi="Calibri"/>
          <w:color w:val="1A73E8"/>
          <w:sz w:val="26"/>
        </w:rPr>
        <w:t>Reading List &amp; Resources</w:t>
      </w:r>
    </w:p>
    <w:p>
      <w:pPr>
        <w:spacing w:before="0" w:after="80"/>
      </w:pPr>
      <w:r>
        <w:rPr>
          <w:rFonts w:ascii="Calibri" w:hAnsi="Calibri"/>
          <w:color w:val="E86C00"/>
          <w:sz w:val="12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400"/>
      </w:pPr>
      <w:r>
        <w:rPr>
          <w:rFonts w:ascii="Calibri" w:hAnsi="Calibri"/>
          <w:i/>
          <w:color w:val="666666"/>
          <w:sz w:val="20"/>
        </w:rPr>
        <w:t>Prepared by Integral Dragon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Session 14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Secure MCP Governance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Verified on 2026-04-13. Primary sources are prioritized.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Core references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Claude Code Docs, Connect Claude Code to tools via MCP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https://code.claude.com/docs/en/mcp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current Anthropic guidance on MCP setup, server configuration, and the basic workflow for connecting tools to Claude Code.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Claude Code Docs, Permissions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https://code.claude.com/docs/en/permissions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explains how permission modes fit into the broader control model and why approval and scope are not the same thing as trust.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Claude Code Docs, Security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https://code.claude.com/docs/en/security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documents Anthropic’s current security framing, including why external systems and tool access require explicit care.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Strongly recommended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Model Context Protocol, Authorization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https://modelcontextprotocol.io/specification/2025-03-26/basic/authorization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defines the authorization layer that should exist when an MCP server exposes sensitive capabilities.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Model Context Protocol, Security best practices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https://modelcontextprotocol.io/docs/tutorials/security/security_best_practices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highlights practical controls for securing MCP integrations, with emphasis on minimizing trust and protecting data boundaries.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NIST SP 800-207, Zero Trust Architecture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https://csrc.nist.gov/pubs/sp/800/207/final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provides the architectural framing for treating the MCP server as a protected resource rather than assuming internal placement equals safety.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Suggested follow-through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Review one candidate MCP integration in your environment and answer: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What is the smallest safe scope to expose first?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What should remain read-only until a later phase?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What logging and ownership data would security or platform engineering require before approval?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  <w:tcBorders>
            <w:top w:val="single" w:sz="6" w:space="0" w:color="C0C0C0"/>
            <w:bottom w:val="none" w:sz="0" w:space="0" w:color="FFFFFF"/>
            <w:left w:val="none" w:sz="0" w:space="0" w:color="FFFFFF"/>
            <w:right w:val="none" w:sz="0" w:space="0" w:color="FFFFFF"/>
          </w:tcBorders>
        </w:tcPr>
        <w:p>
          <w:r>
            <w:rPr>
              <w:rFonts w:ascii="Calibri" w:hAnsi="Calibri"/>
              <w:color w:val="666666"/>
              <w:sz w:val="16"/>
            </w:rPr>
            <w:t>Integral Dragon  |  Confidential</w:t>
          </w:r>
        </w:p>
      </w:tc>
      <w:tc>
        <w:tcPr>
          <w:tcW w:type="dxa" w:w="4680"/>
          <w:tcBorders>
            <w:top w:val="single" w:sz="6" w:space="0" w:color="C0C0C0"/>
            <w:bottom w:val="none" w:sz="0" w:space="0" w:color="FFFFFF"/>
            <w:left w:val="none" w:sz="0" w:space="0" w:color="FFFFFF"/>
            <w:right w:val="none" w:sz="0" w:space="0" w:color="FFFFFF"/>
          </w:tcBorders>
        </w:tcPr>
        <w:p>
          <w:pPr>
            <w:jc w:val="right"/>
          </w:pPr>
          <w:r>
            <w:rPr>
              <w:color w:val="666666"/>
              <w:sz w:val="16"/>
            </w:rPr>
          </w:r>
          <w: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  <w:tcBorders>
            <w:bottom w:val="single" w:sz="12" w:space="0" w:color="0B2A4A"/>
            <w:top w:val="none" w:sz="0" w:space="0" w:color="FFFFFF"/>
            <w:left w:val="none" w:sz="0" w:space="0" w:color="FFFFFF"/>
            <w:right w:val="none" w:sz="0" w:space="0" w:color="FFFFFF"/>
          </w:tcBorders>
        </w:tcPr>
        <w:p>
          <w:r>
            <w:rPr>
              <w:rFonts w:ascii="Calibri" w:hAnsi="Calibri"/>
              <w:b/>
              <w:color w:val="0B2A4A"/>
              <w:sz w:val="20"/>
            </w:rPr>
            <w:t>INTEGRAL DRAGON</w:t>
          </w:r>
        </w:p>
      </w:tc>
      <w:tc>
        <w:tcPr>
          <w:tcW w:type="dxa" w:w="4680"/>
          <w:tcBorders>
            <w:bottom w:val="single" w:sz="12" w:space="0" w:color="0B2A4A"/>
            <w:top w:val="none" w:sz="0" w:space="0" w:color="FFFFFF"/>
            <w:left w:val="none" w:sz="0" w:space="0" w:color="FFFFFF"/>
            <w:right w:val="none" w:sz="0" w:space="0" w:color="FFFFFF"/>
          </w:tcBorders>
        </w:tcPr>
        <w:p>
          <w:pPr>
            <w:jc w:val="right"/>
          </w:pPr>
          <w:r>
            <w:rPr>
              <w:rFonts w:ascii="Calibri" w:hAnsi="Calibri"/>
              <w:i/>
              <w:color w:val="666666"/>
              <w:sz w:val="18"/>
            </w:rPr>
            <w:t>Session 14 Reading List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