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/>
        <w:spacing w:before="0" w:after="0"/>
      </w:pPr>
    </w:p>
    <w:p>
      <w:pPr>
        <w:spacing w:before="0" w:after="80"/>
      </w:pPr>
      <w:r>
        <w:rPr>
          <w:rFonts w:ascii="Calibri" w:hAnsi="Calibri"/>
          <w:color w:val="E86C00"/>
          <w:sz w:val="12"/>
        </w:rPr>
        <w:t>───────────────────────────────────────────────────────</w:t>
      </w:r>
    </w:p>
    <w:p>
      <w:pPr>
        <w:spacing w:before="0" w:after="80"/>
      </w:pPr>
      <w:r>
        <w:rPr>
          <w:rFonts w:ascii="Calibri" w:hAnsi="Calibri"/>
          <w:b/>
          <w:color w:val="0B2A4A"/>
          <w:sz w:val="28"/>
        </w:rPr>
        <w:t>INTEGRAL DRAGON</w:t>
      </w:r>
    </w:p>
    <w:p>
      <w:pPr>
        <w:spacing w:before="0" w:after="120"/>
      </w:pPr>
      <w:r>
        <w:rPr>
          <w:rFonts w:ascii="Calibri" w:hAnsi="Calibri"/>
          <w:b/>
          <w:color w:val="0B2A4A"/>
          <w:sz w:val="52"/>
        </w:rPr>
        <w:t>Session 15: Code Review and Cognitive Debt Mitigation</w:t>
      </w:r>
    </w:p>
    <w:p>
      <w:pPr>
        <w:spacing w:before="0" w:after="120"/>
      </w:pPr>
      <w:r>
        <w:rPr>
          <w:rFonts w:ascii="Calibri" w:hAnsi="Calibri"/>
          <w:color w:val="1A73E8"/>
          <w:sz w:val="26"/>
        </w:rPr>
        <w:t>Reading List &amp; Resources</w:t>
      </w:r>
    </w:p>
    <w:p>
      <w:pPr>
        <w:spacing w:before="0" w:after="80"/>
      </w:pPr>
      <w:r>
        <w:rPr>
          <w:rFonts w:ascii="Calibri" w:hAnsi="Calibri"/>
          <w:color w:val="E86C00"/>
          <w:sz w:val="12"/>
        </w:rPr>
        <w:t>───────────────────────────────────────────────────────</w:t>
      </w:r>
    </w:p>
    <w:p>
      <w:pPr>
        <w:spacing w:before="0" w:after="400"/>
      </w:pPr>
      <w:r>
        <w:rPr>
          <w:rFonts w:ascii="Calibri" w:hAnsi="Calibri"/>
          <w:i/>
          <w:color w:val="666666"/>
          <w:sz w:val="20"/>
        </w:rPr>
        <w:t>Prepared by Integral Dragon</w:t>
      </w:r>
    </w:p>
    <w:p>
      <w:pPr>
        <w:spacing w:before="240" w:after="80"/>
      </w:pPr>
      <w:r>
        <w:rPr>
          <w:rFonts w:ascii="Calibri" w:hAnsi="Calibri"/>
          <w:b/>
          <w:color w:val="0B2A4A"/>
          <w:sz w:val="32"/>
        </w:rPr>
        <w:t>Session 15</w:t>
      </w:r>
    </w:p>
    <w:p>
      <w:pPr>
        <w:spacing w:before="240" w:after="80"/>
      </w:pPr>
      <w:r>
        <w:rPr>
          <w:rFonts w:ascii="Calibri" w:hAnsi="Calibri"/>
          <w:b/>
          <w:color w:val="0B2A4A"/>
          <w:sz w:val="32"/>
        </w:rPr>
        <w:t>Code Review and Cognitive Debt Mitigation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333333"/>
          <w:sz w:val="22"/>
        </w:rPr>
        <w:t>Verified on 2026-04-13. Primary sources are prioritized.</w:t>
      </w:r>
    </w:p>
    <w:p>
      <w:pPr>
        <w:spacing w:before="200" w:after="60"/>
      </w:pPr>
      <w:r>
        <w:rPr>
          <w:rFonts w:ascii="Calibri" w:hAnsi="Calibri"/>
          <w:b/>
          <w:color w:val="1A73E8"/>
          <w:sz w:val="26"/>
        </w:rPr>
        <w:t>Core references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b w:val="0"/>
          <w:i w:val="0"/>
          <w:color w:val="333333"/>
          <w:sz w:val="22"/>
        </w:rPr>
        <w:t>Claude Code Docs, Create custom subagents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333333"/>
          <w:sz w:val="22"/>
        </w:rPr>
        <w:t>https://code.claude.com/docs/en/sub-agents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333333"/>
          <w:sz w:val="22"/>
        </w:rPr>
        <w:t xml:space="preserve">Why it matters: includes the built-in and example </w:t>
      </w:r>
      <w:r>
        <w:rPr>
          <w:rFonts w:ascii="Consolas" w:hAnsi="Consolas"/>
          <w:b w:val="0"/>
          <w:i w:val="0"/>
          <w:color w:val="1A73E8"/>
          <w:sz w:val="20"/>
        </w:rPr>
        <w:t>code-reviewer</w:t>
      </w:r>
      <w:r>
        <w:rPr>
          <w:rFonts w:ascii="Calibri" w:hAnsi="Calibri"/>
          <w:b w:val="0"/>
          <w:i w:val="0"/>
          <w:color w:val="333333"/>
          <w:sz w:val="22"/>
        </w:rPr>
        <w:t xml:space="preserve"> pattern, a review checklist, and guidance for making review behavior explicit and repeatable.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b w:val="0"/>
          <w:i w:val="0"/>
          <w:color w:val="333333"/>
          <w:sz w:val="22"/>
        </w:rPr>
        <w:t>Claude Code Docs, Claude Code GitHub Actions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333333"/>
          <w:sz w:val="22"/>
        </w:rPr>
        <w:t>https://code.claude.com/docs/en/github-actions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333333"/>
          <w:sz w:val="22"/>
        </w:rPr>
        <w:t xml:space="preserve">Why it matters: documents project standards, </w:t>
      </w:r>
      <w:r>
        <w:rPr>
          <w:rFonts w:ascii="Consolas" w:hAnsi="Consolas"/>
          <w:b w:val="0"/>
          <w:i w:val="0"/>
          <w:color w:val="1A73E8"/>
          <w:sz w:val="20"/>
        </w:rPr>
        <w:t>CLAUDE.md</w:t>
      </w:r>
      <w:r>
        <w:rPr>
          <w:rFonts w:ascii="Calibri" w:hAnsi="Calibri"/>
          <w:b w:val="0"/>
          <w:i w:val="0"/>
          <w:color w:val="333333"/>
          <w:sz w:val="22"/>
        </w:rPr>
        <w:t xml:space="preserve"> review criteria, and </w:t>
      </w:r>
      <w:r>
        <w:rPr>
          <w:rFonts w:ascii="Consolas" w:hAnsi="Consolas"/>
          <w:b w:val="0"/>
          <w:i w:val="0"/>
          <w:color w:val="1A73E8"/>
          <w:sz w:val="20"/>
        </w:rPr>
        <w:t>/review</w:t>
      </w:r>
      <w:r>
        <w:rPr>
          <w:rFonts w:ascii="Calibri" w:hAnsi="Calibri"/>
          <w:b w:val="0"/>
          <w:i w:val="0"/>
          <w:color w:val="333333"/>
          <w:sz w:val="22"/>
        </w:rPr>
        <w:t>-style workflows that reinforce review as an explicit step rather than an afterthought.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b w:val="0"/>
          <w:i w:val="0"/>
          <w:color w:val="333333"/>
          <w:sz w:val="22"/>
        </w:rPr>
        <w:t>Anthropic, Claude Code Security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333333"/>
          <w:sz w:val="22"/>
        </w:rPr>
        <w:t>https://code.claude.com/docs/en/security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333333"/>
          <w:sz w:val="22"/>
        </w:rPr>
        <w:t>Why it matters: useful for framing review discipline as part of secure usage and scoped permissions, not just a style exercise.</w:t>
      </w:r>
    </w:p>
    <w:p>
      <w:pPr>
        <w:spacing w:before="200" w:after="60"/>
      </w:pPr>
      <w:r>
        <w:rPr>
          <w:rFonts w:ascii="Calibri" w:hAnsi="Calibri"/>
          <w:b/>
          <w:color w:val="1A73E8"/>
          <w:sz w:val="26"/>
        </w:rPr>
        <w:t>Strongly recommended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b w:val="0"/>
          <w:i w:val="0"/>
          <w:color w:val="333333"/>
          <w:sz w:val="22"/>
        </w:rPr>
        <w:t>Addy Osmani, "Comprehension Debt — the hidden cost of AI generated code"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333333"/>
          <w:sz w:val="22"/>
        </w:rPr>
        <w:t>https://medium.com/@addyosmani/comprehension-debt-the-hidden-cost-of-ai-generated-code-285a25dac57e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333333"/>
          <w:sz w:val="22"/>
        </w:rPr>
        <w:t>Why it matters: directly supports the idea that AI can create code faster than humans can understand it, which is the core cognitive debt problem in this session.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b w:val="0"/>
          <w:i w:val="0"/>
          <w:color w:val="333333"/>
          <w:sz w:val="22"/>
        </w:rPr>
        <w:t>Automation bias: a systematic review of frequency, effect mediators, and mitigators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333333"/>
          <w:sz w:val="22"/>
        </w:rPr>
        <w:t>https://pmc.ncbi.nlm.nih.gov/articles/PMC3240751/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333333"/>
          <w:sz w:val="22"/>
        </w:rPr>
        <w:t>Why it matters: a foundational systematic review on automation bias and why humans can overtrust automated outputs even when the automation is wrong.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b w:val="0"/>
          <w:i w:val="0"/>
          <w:color w:val="333333"/>
          <w:sz w:val="22"/>
        </w:rPr>
        <w:t>Claude Code Overview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333333"/>
          <w:sz w:val="22"/>
        </w:rPr>
        <w:t>https://code.claude.com/docs/en/overview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333333"/>
          <w:sz w:val="22"/>
        </w:rPr>
        <w:t>Why it matters: helps anchor the review workflow in the broader reality that Claude Code can edit files and create commits, so human review remains essential.</w:t>
      </w:r>
    </w:p>
    <w:p>
      <w:pPr>
        <w:spacing w:before="200" w:after="60"/>
      </w:pPr>
      <w:r>
        <w:rPr>
          <w:rFonts w:ascii="Calibri" w:hAnsi="Calibri"/>
          <w:b/>
          <w:color w:val="1A73E8"/>
          <w:sz w:val="26"/>
        </w:rPr>
        <w:t>Suggested follow-through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333333"/>
          <w:sz w:val="22"/>
        </w:rPr>
        <w:t>Review one AI-assisted diff and answer: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b w:val="0"/>
          <w:i w:val="0"/>
          <w:color w:val="333333"/>
          <w:sz w:val="22"/>
        </w:rPr>
        <w:t>What structural assumption did you almost accept without proving?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b w:val="0"/>
          <w:i w:val="0"/>
          <w:color w:val="333333"/>
          <w:sz w:val="22"/>
        </w:rPr>
        <w:t>Which test result was insufficient as evidence?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b w:val="0"/>
          <w:i w:val="0"/>
          <w:color w:val="333333"/>
          <w:sz w:val="22"/>
        </w:rPr>
        <w:t>What explanation would you give a teammate if you had to defend the review decision later?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Style w:val="TableGrid"/>
      <w:tblW w:type="auto" w:w="0"/>
      <w:jc w:val="left"/>
      <w:tblLook w:firstColumn="1" w:firstRow="1" w:lastColumn="0" w:lastRow="0" w:noHBand="0" w:noVBand="1" w:val="04A0"/>
    </w:tblPr>
    <w:tblGrid>
      <w:gridCol w:w="4680"/>
      <w:gridCol w:w="4680"/>
    </w:tblGrid>
    <w:tr>
      <w:tc>
        <w:tcPr>
          <w:tcW w:type="dxa" w:w="4680"/>
          <w:tcBorders>
            <w:top w:val="single" w:sz="6" w:space="0" w:color="C0C0C0"/>
            <w:bottom w:val="none" w:sz="0" w:space="0" w:color="FFFFFF"/>
            <w:left w:val="none" w:sz="0" w:space="0" w:color="FFFFFF"/>
            <w:right w:val="none" w:sz="0" w:space="0" w:color="FFFFFF"/>
          </w:tcBorders>
        </w:tcPr>
        <w:p>
          <w:r>
            <w:rPr>
              <w:rFonts w:ascii="Calibri" w:hAnsi="Calibri"/>
              <w:color w:val="666666"/>
              <w:sz w:val="16"/>
            </w:rPr>
            <w:t>Integral Dragon  |  Confidential</w:t>
          </w:r>
        </w:p>
      </w:tc>
      <w:tc>
        <w:tcPr>
          <w:tcW w:type="dxa" w:w="4680"/>
          <w:tcBorders>
            <w:top w:val="single" w:sz="6" w:space="0" w:color="C0C0C0"/>
            <w:bottom w:val="none" w:sz="0" w:space="0" w:color="FFFFFF"/>
            <w:left w:val="none" w:sz="0" w:space="0" w:color="FFFFFF"/>
            <w:right w:val="none" w:sz="0" w:space="0" w:color="FFFFFF"/>
          </w:tcBorders>
        </w:tcPr>
        <w:p>
          <w:pPr>
            <w:jc w:val="right"/>
          </w:pPr>
          <w:r>
            <w:rPr>
              <w:color w:val="666666"/>
              <w:sz w:val="16"/>
            </w:rPr>
          </w:r>
          <w:r>
            <w:fldChar w:fldCharType="begin"/>
            <w:instrText xml:space="preserve">PAGE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jc w:val="left"/>
      <w:tblLook w:firstColumn="1" w:firstRow="1" w:lastColumn="0" w:lastRow="0" w:noHBand="0" w:noVBand="1" w:val="04A0"/>
    </w:tblPr>
    <w:tblGrid>
      <w:gridCol w:w="4680"/>
      <w:gridCol w:w="4680"/>
    </w:tblGrid>
    <w:tr>
      <w:tc>
        <w:tcPr>
          <w:tcW w:type="dxa" w:w="4680"/>
          <w:tcBorders>
            <w:bottom w:val="single" w:sz="12" w:space="0" w:color="0B2A4A"/>
            <w:top w:val="none" w:sz="0" w:space="0" w:color="FFFFFF"/>
            <w:left w:val="none" w:sz="0" w:space="0" w:color="FFFFFF"/>
            <w:right w:val="none" w:sz="0" w:space="0" w:color="FFFFFF"/>
          </w:tcBorders>
        </w:tcPr>
        <w:p>
          <w:r>
            <w:rPr>
              <w:rFonts w:ascii="Calibri" w:hAnsi="Calibri"/>
              <w:b/>
              <w:color w:val="0B2A4A"/>
              <w:sz w:val="20"/>
            </w:rPr>
            <w:t>INTEGRAL DRAGON</w:t>
          </w:r>
        </w:p>
      </w:tc>
      <w:tc>
        <w:tcPr>
          <w:tcW w:type="dxa" w:w="4680"/>
          <w:tcBorders>
            <w:bottom w:val="single" w:sz="12" w:space="0" w:color="0B2A4A"/>
            <w:top w:val="none" w:sz="0" w:space="0" w:color="FFFFFF"/>
            <w:left w:val="none" w:sz="0" w:space="0" w:color="FFFFFF"/>
            <w:right w:val="none" w:sz="0" w:space="0" w:color="FFFFFF"/>
          </w:tcBorders>
        </w:tcPr>
        <w:p>
          <w:pPr>
            <w:jc w:val="right"/>
          </w:pPr>
          <w:r>
            <w:rPr>
              <w:rFonts w:ascii="Calibri" w:hAnsi="Calibri"/>
              <w:i/>
              <w:color w:val="666666"/>
              <w:sz w:val="18"/>
            </w:rPr>
            <w:t>Session 15 Reading List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