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16: Auditability and Workflow Narration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Reading List &amp; Resources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16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Auditability and Workflow Narration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Verified on 2026-04-13. Primary sources are prioritized.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Core references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Monitoring usage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https://code.claude.com/docs/en/monitoring-usage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shows current event and prompt correlation signals, event-level analysis, and audit-trail-oriented telemetry guidance that can support reconstructable workflows.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Data usage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https://code.claude.com/docs/en/data-usage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documents what Claude Code logs, what may be retained, and how session and telemetry data behave across local and cloud execution.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Checkpointing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https://code.claude.com/docs/en/checkpointing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explains how Claude Code tracks file edits and allows rewind/undo, which is helpful context for preserving change history and reconstruction.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Strongly recommended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Zero data retention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https://code.claude.com/docs/en/zero-data-retention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important for understanding administrative controls, audit logs, and retention behavior in enterprise environments.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NIST AI RMF Playbook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https://www.nist.gov/itl/ai-risk-management-framework/nist-ai-rmf-playbook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current NIST guidance on using the AI RMF with documented practices and trustworthiness considerations across the AI lifecycle.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NIST AI RMF Playbook, Govern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https://airc.nist.gov/airmf-resources/playbook/govern/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emphasizes transparent policies, procedures, documentation, and accountability mechanisms that support auditability.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NIST AI RMF Playbook, Measure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https://airc.nist.gov/AI_RMF_Knowledge_Base/Playbook/Measure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documents measurement, transparency, and documentation practices that help teams make AI behavior reviewable and measurable.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NIST Special Publication 800-53 Revision 5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https://nvlpubs.nist.gov/nistpubs/SpecialPublications/NIST.SP.800-53r5.pdf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primary federal source for audit and accountability controls, including event logging and audit support expectations.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follow-through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Take one AI-assisted change and answer: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evidence would let another engineer reconstruct the decision path?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should be captured in the PR narration versus the session log?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would an auditor still ask for after reading the code itself?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16 Reading List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