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ession-1--exercises"/>
    <w:p>
      <w:pPr>
        <w:pStyle w:val="Heading1"/>
      </w:pPr>
      <w:r>
        <w:t xml:space="preserve">Session 1 — Exercises</w:t>
      </w:r>
    </w:p>
    <w:p>
      <w:pPr>
        <w:pStyle w:val="FirstParagraph"/>
      </w:pPr>
      <w:r>
        <w:t xml:space="preserve">This handout contains the core exercise for Day 1 plus one lightweight in-class activity. Both use the "what good looks like" framework as their anchor.</w:t>
      </w:r>
    </w:p>
    <w:p>
      <w:r>
        <w:pict>
          <v:rect style="width:0;height:1.5pt" o:hralign="center" o:hrstd="t" o:hr="t"/>
        </w:pict>
      </w:r>
    </w:p>
    <w:bookmarkStart w:id="18" w:name="exercise-1--repository-health-scorecard"/>
    <w:p>
      <w:pPr>
        <w:pStyle w:val="Heading2"/>
      </w:pPr>
      <w:r>
        <w:t xml:space="preserve">Exercise 1 — Repository Health Scorecard</w:t>
      </w:r>
    </w:p>
    <w:bookmarkStart w:id="9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Evaluate a repository against the "what good looks like" framework.</w:t>
      </w:r>
    </w:p>
    <w:bookmarkEnd w:id="9"/>
    <w:bookmarkStart w:id="10" w:name="estimated-time"/>
    <w:p>
      <w:pPr>
        <w:pStyle w:val="Heading3"/>
      </w:pPr>
      <w:r>
        <w:t xml:space="preserve">Estimated time</w:t>
      </w:r>
    </w:p>
    <w:p>
      <w:pPr>
        <w:pStyle w:val="FirstParagraph"/>
      </w:pPr>
      <w:r>
        <w:t xml:space="preserve">15–20 minutes.</w:t>
      </w:r>
    </w:p>
    <w:bookmarkEnd w:id="10"/>
    <w:bookmarkStart w:id="11" w:name="format"/>
    <w:p>
      <w:pPr>
        <w:pStyle w:val="Heading3"/>
      </w:pPr>
      <w:r>
        <w:t xml:space="preserve">Format</w:t>
      </w:r>
    </w:p>
    <w:p>
      <w:pPr>
        <w:pStyle w:val="FirstParagraph"/>
      </w:pPr>
      <w:r>
        <w:t xml:space="preserve">Pairs or small groups.</w:t>
      </w:r>
    </w:p>
    <w:bookmarkEnd w:id="11"/>
    <w:bookmarkStart w:id="12" w:name="inputs-required"/>
    <w:p>
      <w:pPr>
        <w:pStyle w:val="Heading3"/>
      </w:pPr>
      <w:r>
        <w:t xml:space="preserve">Inputs required</w:t>
      </w:r>
    </w:p>
    <w:p>
      <w:pPr>
        <w:pStyle w:val="Compact"/>
        <w:numPr>
          <w:ilvl w:val="0"/>
          <w:numId w:val="1001"/>
        </w:numPr>
      </w:pPr>
      <w:r>
        <w:t xml:space="preserve">A public GitHub repository or internal training repo.</w:t>
      </w:r>
    </w:p>
    <w:p>
      <w:pPr>
        <w:pStyle w:val="Compact"/>
        <w:numPr>
          <w:ilvl w:val="0"/>
          <w:numId w:val="1001"/>
        </w:numPr>
      </w:pPr>
      <w:r>
        <w:t xml:space="preserve">The Repository Health Scorecard (see</w:t>
      </w:r>
      <w:r>
        <w:t xml:space="preserve"> </w:t>
      </w:r>
      <w:r>
        <w:rPr>
          <w:rStyle w:val="VerbatimChar"/>
        </w:rPr>
        <w:t xml:space="preserve">session-1-rubric.md</w:t>
      </w:r>
      <w:r>
        <w:t xml:space="preserve">).</w:t>
      </w:r>
    </w:p>
    <w:bookmarkEnd w:id="12"/>
    <w:bookmarkStart w:id="13" w:name="instructions"/>
    <w:p>
      <w:pPr>
        <w:pStyle w:val="Heading3"/>
      </w:pPr>
      <w:r>
        <w:t xml:space="preserve">Instructions</w:t>
      </w:r>
    </w:p>
    <w:p>
      <w:pPr>
        <w:pStyle w:val="Compact"/>
        <w:numPr>
          <w:ilvl w:val="0"/>
          <w:numId w:val="1002"/>
        </w:numPr>
      </w:pPr>
      <w:r>
        <w:t xml:space="preserve">Review the README, repo structure, workflow files, and visible docs.</w:t>
      </w:r>
    </w:p>
    <w:p>
      <w:pPr>
        <w:pStyle w:val="Compact"/>
        <w:numPr>
          <w:ilvl w:val="0"/>
          <w:numId w:val="1002"/>
        </w:numPr>
      </w:pPr>
      <w:r>
        <w:t xml:space="preserve">Score each project-health category from 1 to 5.</w:t>
      </w:r>
    </w:p>
    <w:p>
      <w:pPr>
        <w:pStyle w:val="Compact"/>
        <w:numPr>
          <w:ilvl w:val="0"/>
          <w:numId w:val="1002"/>
        </w:numPr>
      </w:pPr>
      <w:r>
        <w:t xml:space="preserve">Write one sentence explaining each low score.</w:t>
      </w:r>
    </w:p>
    <w:p>
      <w:pPr>
        <w:pStyle w:val="Compact"/>
        <w:numPr>
          <w:ilvl w:val="0"/>
          <w:numId w:val="1002"/>
        </w:numPr>
      </w:pPr>
      <w:r>
        <w:t xml:space="preserve">Identify the three weaknesses most likely to slow future change.</w:t>
      </w:r>
    </w:p>
    <w:bookmarkEnd w:id="13"/>
    <w:bookmarkStart w:id="14" w:name="expected-output"/>
    <w:p>
      <w:pPr>
        <w:pStyle w:val="Heading3"/>
      </w:pPr>
      <w:r>
        <w:t xml:space="preserve">Expected output</w:t>
      </w:r>
    </w:p>
    <w:p>
      <w:pPr>
        <w:pStyle w:val="Compact"/>
        <w:numPr>
          <w:ilvl w:val="0"/>
          <w:numId w:val="1003"/>
        </w:numPr>
      </w:pPr>
      <w:r>
        <w:t xml:space="preserve">A scored rubric.</w:t>
      </w:r>
    </w:p>
    <w:p>
      <w:pPr>
        <w:pStyle w:val="Compact"/>
        <w:numPr>
          <w:ilvl w:val="0"/>
          <w:numId w:val="1003"/>
        </w:numPr>
      </w:pPr>
      <w:r>
        <w:t xml:space="preserve">A top-three problem list.</w:t>
      </w:r>
    </w:p>
    <w:p>
      <w:pPr>
        <w:pStyle w:val="Compact"/>
        <w:numPr>
          <w:ilvl w:val="0"/>
          <w:numId w:val="1003"/>
        </w:numPr>
      </w:pPr>
      <w:r>
        <w:t xml:space="preserve">A one-paragraph conclusion.</w:t>
      </w:r>
    </w:p>
    <w:bookmarkEnd w:id="14"/>
    <w:bookmarkStart w:id="15" w:name="how-ai-should-be-used"/>
    <w:p>
      <w:pPr>
        <w:pStyle w:val="Heading3"/>
      </w:pPr>
      <w:r>
        <w:t xml:space="preserve">How AI should be used</w:t>
      </w:r>
    </w:p>
    <w:p>
      <w:pPr>
        <w:pStyle w:val="FirstParagraph"/>
      </w:pPr>
      <w:r>
        <w:t xml:space="preserve">Ask AI to:</w:t>
      </w:r>
    </w:p>
    <w:p>
      <w:pPr>
        <w:pStyle w:val="Compact"/>
        <w:numPr>
          <w:ilvl w:val="0"/>
          <w:numId w:val="1004"/>
        </w:numPr>
      </w:pPr>
      <w:r>
        <w:t xml:space="preserve">summarize the repo structure,</w:t>
      </w:r>
    </w:p>
    <w:p>
      <w:pPr>
        <w:pStyle w:val="Compact"/>
        <w:numPr>
          <w:ilvl w:val="0"/>
          <w:numId w:val="1004"/>
        </w:numPr>
      </w:pPr>
      <w:r>
        <w:t xml:space="preserve">identify missing docs,</w:t>
      </w:r>
    </w:p>
    <w:p>
      <w:pPr>
        <w:pStyle w:val="Compact"/>
        <w:numPr>
          <w:ilvl w:val="0"/>
          <w:numId w:val="1004"/>
        </w:numPr>
      </w:pPr>
      <w:r>
        <w:t xml:space="preserve">list visible testing and CI signals.</w:t>
      </w:r>
    </w:p>
    <w:p>
      <w:pPr>
        <w:pStyle w:val="FirstParagraph"/>
      </w:pPr>
      <w:r>
        <w:t xml:space="preserve">Do not let AI assign scores without human review.</w:t>
      </w:r>
    </w:p>
    <w:bookmarkEnd w:id="15"/>
    <w:bookmarkStart w:id="16" w:name="what-a-good-answer-looks-like"/>
    <w:p>
      <w:pPr>
        <w:pStyle w:val="Heading3"/>
      </w:pPr>
      <w:r>
        <w:t xml:space="preserve">What a good answer looks like</w:t>
      </w:r>
    </w:p>
    <w:p>
      <w:pPr>
        <w:pStyle w:val="Compact"/>
        <w:numPr>
          <w:ilvl w:val="0"/>
          <w:numId w:val="1005"/>
        </w:numPr>
      </w:pPr>
      <w:r>
        <w:t xml:space="preserve">Grounded in actual repo evidence.</w:t>
      </w:r>
    </w:p>
    <w:p>
      <w:pPr>
        <w:pStyle w:val="Compact"/>
        <w:numPr>
          <w:ilvl w:val="0"/>
          <w:numId w:val="1005"/>
        </w:numPr>
      </w:pPr>
      <w:r>
        <w:t xml:space="preserve">Distinguishes weak setup from weak architecture.</w:t>
      </w:r>
    </w:p>
    <w:p>
      <w:pPr>
        <w:pStyle w:val="Compact"/>
        <w:numPr>
          <w:ilvl w:val="0"/>
          <w:numId w:val="1005"/>
        </w:numPr>
      </w:pPr>
      <w:r>
        <w:t xml:space="preserve">Names the likely downstream effect of each weakness.</w:t>
      </w:r>
    </w:p>
    <w:bookmarkEnd w:id="16"/>
    <w:bookmarkStart w:id="17" w:name="common-weak-patterns"/>
    <w:p>
      <w:pPr>
        <w:pStyle w:val="Heading3"/>
      </w:pPr>
      <w:r>
        <w:t xml:space="preserve">Common weak patterns</w:t>
      </w:r>
    </w:p>
    <w:p>
      <w:pPr>
        <w:pStyle w:val="Compact"/>
        <w:numPr>
          <w:ilvl w:val="0"/>
          <w:numId w:val="1006"/>
        </w:numPr>
      </w:pPr>
      <w:r>
        <w:t xml:space="preserve">Scoring based on vibe.</w:t>
      </w:r>
    </w:p>
    <w:p>
      <w:pPr>
        <w:pStyle w:val="Compact"/>
        <w:numPr>
          <w:ilvl w:val="0"/>
          <w:numId w:val="1006"/>
        </w:numPr>
      </w:pPr>
      <w:r>
        <w:t xml:space="preserve">Over-weighting code style.</w:t>
      </w:r>
    </w:p>
    <w:p>
      <w:pPr>
        <w:pStyle w:val="Compact"/>
        <w:numPr>
          <w:ilvl w:val="0"/>
          <w:numId w:val="1006"/>
        </w:numPr>
      </w:pPr>
      <w:r>
        <w:t xml:space="preserve">Mistaking a long README for good documentation.</w:t>
      </w:r>
    </w:p>
    <w:p>
      <w:pPr>
        <w:pStyle w:val="Compact"/>
        <w:numPr>
          <w:ilvl w:val="0"/>
          <w:numId w:val="1006"/>
        </w:numPr>
      </w:pPr>
      <w:r>
        <w:t xml:space="preserve">Assuming presence of tests equals confidence.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lightweight--missing-artifact-drill"/>
    <w:p>
      <w:pPr>
        <w:pStyle w:val="Heading2"/>
      </w:pPr>
      <w:r>
        <w:t xml:space="preserve">Lightweight — Missing Artifact Drill</w:t>
      </w:r>
    </w:p>
    <w:bookmarkStart w:id="19" w:name="objective-1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Practice naming the single most useful artifact for an ambiguous situation.</w:t>
      </w:r>
    </w:p>
    <w:bookmarkEnd w:id="19"/>
    <w:bookmarkStart w:id="20" w:name="estimated-time-1"/>
    <w:p>
      <w:pPr>
        <w:pStyle w:val="Heading3"/>
      </w:pPr>
      <w:r>
        <w:t xml:space="preserve">Estimated time</w:t>
      </w:r>
    </w:p>
    <w:p>
      <w:pPr>
        <w:pStyle w:val="FirstParagraph"/>
      </w:pPr>
      <w:r>
        <w:t xml:space="preserve">10–15 minutes.</w:t>
      </w:r>
    </w:p>
    <w:bookmarkEnd w:id="20"/>
    <w:bookmarkStart w:id="21" w:name="format-1"/>
    <w:p>
      <w:pPr>
        <w:pStyle w:val="Heading3"/>
      </w:pPr>
      <w:r>
        <w:t xml:space="preserve">Format</w:t>
      </w:r>
    </w:p>
    <w:p>
      <w:pPr>
        <w:pStyle w:val="FirstParagraph"/>
      </w:pPr>
      <w:r>
        <w:t xml:space="preserve">Individual or quick round-robin.</w:t>
      </w:r>
    </w:p>
    <w:bookmarkEnd w:id="21"/>
    <w:bookmarkStart w:id="22" w:name="instructions-1"/>
    <w:p>
      <w:pPr>
        <w:pStyle w:val="Heading3"/>
      </w:pPr>
      <w:r>
        <w:t xml:space="preserve">Instructions</w:t>
      </w:r>
    </w:p>
    <w:p>
      <w:pPr>
        <w:pStyle w:val="FirstParagraph"/>
      </w:pPr>
      <w:r>
        <w:t xml:space="preserve">For each situation the instructor presents, answer one question:</w:t>
      </w:r>
    </w:p>
    <w:p>
      <w:pPr>
        <w:pStyle w:val="BlockText"/>
      </w:pPr>
      <w:r>
        <w:rPr>
          <w:b/>
          <w:bCs/>
        </w:rPr>
        <w:t xml:space="preserve">What artifact would most reduce confusion here?</w:t>
      </w:r>
    </w:p>
    <w:p>
      <w:pPr>
        <w:pStyle w:val="FirstParagraph"/>
      </w:pPr>
      <w:r>
        <w:t xml:space="preserve">Choose from:</w:t>
      </w:r>
    </w:p>
    <w:p>
      <w:pPr>
        <w:pStyle w:val="Compact"/>
        <w:numPr>
          <w:ilvl w:val="0"/>
          <w:numId w:val="1007"/>
        </w:numPr>
      </w:pPr>
      <w:r>
        <w:t xml:space="preserve">README section,</w:t>
      </w:r>
    </w:p>
    <w:p>
      <w:pPr>
        <w:pStyle w:val="Compact"/>
        <w:numPr>
          <w:ilvl w:val="0"/>
          <w:numId w:val="1007"/>
        </w:numPr>
      </w:pPr>
      <w:r>
        <w:t xml:space="preserve">architecture diagram,</w:t>
      </w:r>
    </w:p>
    <w:p>
      <w:pPr>
        <w:pStyle w:val="Compact"/>
        <w:numPr>
          <w:ilvl w:val="0"/>
          <w:numId w:val="1007"/>
        </w:numPr>
      </w:pPr>
      <w:r>
        <w:t xml:space="preserve">migration guide,</w:t>
      </w:r>
    </w:p>
    <w:p>
      <w:pPr>
        <w:pStyle w:val="Compact"/>
        <w:numPr>
          <w:ilvl w:val="0"/>
          <w:numId w:val="1007"/>
        </w:numPr>
      </w:pPr>
      <w:r>
        <w:t xml:space="preserve">runbook,</w:t>
      </w:r>
    </w:p>
    <w:p>
      <w:pPr>
        <w:pStyle w:val="Compact"/>
        <w:numPr>
          <w:ilvl w:val="0"/>
          <w:numId w:val="1007"/>
        </w:numPr>
      </w:pPr>
      <w:r>
        <w:t xml:space="preserve">test fixture strategy,</w:t>
      </w:r>
    </w:p>
    <w:p>
      <w:pPr>
        <w:pStyle w:val="Compact"/>
        <w:numPr>
          <w:ilvl w:val="0"/>
          <w:numId w:val="1007"/>
        </w:numPr>
      </w:pPr>
      <w:r>
        <w:t xml:space="preserve">PR template.</w:t>
      </w:r>
    </w:p>
    <w:p>
      <w:pPr>
        <w:pStyle w:val="FirstParagraph"/>
      </w:pPr>
      <w:r>
        <w:t xml:space="preserve">Be ready to explain, in one sentence, why that artifact is the highest-leverage thing to add first.</w:t>
      </w:r>
    </w:p>
    <w:bookmarkEnd w:id="22"/>
    <w:bookmarkStart w:id="23" w:name="expected-output-1"/>
    <w:p>
      <w:pPr>
        <w:pStyle w:val="Heading3"/>
      </w:pPr>
      <w:r>
        <w:t xml:space="preserve">Expected output</w:t>
      </w:r>
    </w:p>
    <w:p>
      <w:pPr>
        <w:pStyle w:val="Compact"/>
        <w:numPr>
          <w:ilvl w:val="0"/>
          <w:numId w:val="1008"/>
        </w:numPr>
      </w:pPr>
      <w:r>
        <w:t xml:space="preserve">A chosen artifact per scenario.</w:t>
      </w:r>
    </w:p>
    <w:p>
      <w:pPr>
        <w:pStyle w:val="Compact"/>
        <w:numPr>
          <w:ilvl w:val="0"/>
          <w:numId w:val="1008"/>
        </w:numPr>
      </w:pPr>
      <w:r>
        <w:t xml:space="preserve">A short rationale: who benefits, how often, and what confusion it removes.</w:t>
      </w:r>
    </w:p>
    <w:bookmarkEnd w:id="23"/>
    <w:bookmarkStart w:id="24" w:name="how-ai-should-be-used-1"/>
    <w:p>
      <w:pPr>
        <w:pStyle w:val="Heading3"/>
      </w:pPr>
      <w:r>
        <w:t xml:space="preserve">How AI should be used</w:t>
      </w:r>
    </w:p>
    <w:p>
      <w:pPr>
        <w:pStyle w:val="FirstParagraph"/>
      </w:pPr>
      <w:r>
        <w:t xml:space="preserve">Optional. You can ask AI to list candidate artifacts for a scenario, but the final choice and rationale should be yours.</w:t>
      </w:r>
    </w:p>
    <w:bookmarkEnd w:id="24"/>
    <w:bookmarkStart w:id="25" w:name="what-a-good-answer-looks-like-1"/>
    <w:p>
      <w:pPr>
        <w:pStyle w:val="Heading3"/>
      </w:pPr>
      <w:r>
        <w:t xml:space="preserve">What a good answer looks like</w:t>
      </w:r>
    </w:p>
    <w:p>
      <w:pPr>
        <w:pStyle w:val="Compact"/>
        <w:numPr>
          <w:ilvl w:val="0"/>
          <w:numId w:val="1009"/>
        </w:numPr>
      </w:pPr>
      <w:r>
        <w:t xml:space="preserve">Tied to a specific reader or decision the artifact unblocks.</w:t>
      </w:r>
    </w:p>
    <w:p>
      <w:pPr>
        <w:pStyle w:val="Compact"/>
        <w:numPr>
          <w:ilvl w:val="0"/>
          <w:numId w:val="1009"/>
        </w:numPr>
      </w:pPr>
      <w:r>
        <w:t xml:space="preserve">Picks the artifact that reduces repeated confusion, not one-time confusion.</w:t>
      </w:r>
    </w:p>
    <w:p>
      <w:pPr>
        <w:pStyle w:val="Compact"/>
        <w:numPr>
          <w:ilvl w:val="0"/>
          <w:numId w:val="1009"/>
        </w:numPr>
      </w:pPr>
      <w:r>
        <w:t xml:space="preserve">Willing to say "no artifact — this is a conversation problem" when appropriate.</w:t>
      </w:r>
    </w:p>
    <w:bookmarkEnd w:id="25"/>
    <w:bookmarkStart w:id="26" w:name="common-weak-patterns-1"/>
    <w:p>
      <w:pPr>
        <w:pStyle w:val="Heading3"/>
      </w:pPr>
      <w:r>
        <w:t xml:space="preserve">Common weak patterns</w:t>
      </w:r>
    </w:p>
    <w:p>
      <w:pPr>
        <w:pStyle w:val="Compact"/>
        <w:numPr>
          <w:ilvl w:val="0"/>
          <w:numId w:val="1010"/>
        </w:numPr>
      </w:pPr>
      <w:r>
        <w:t xml:space="preserve">Defaulting to "more docs" without naming which docs.</w:t>
      </w:r>
    </w:p>
    <w:p>
      <w:pPr>
        <w:pStyle w:val="Compact"/>
        <w:numPr>
          <w:ilvl w:val="0"/>
          <w:numId w:val="1010"/>
        </w:numPr>
      </w:pPr>
      <w:r>
        <w:t xml:space="preserve">Picking the most elaborate artifact instead of the most leveraged one.</w:t>
      </w:r>
    </w:p>
    <w:p>
      <w:pPr>
        <w:pStyle w:val="Compact"/>
        <w:numPr>
          <w:ilvl w:val="0"/>
          <w:numId w:val="1010"/>
        </w:numPr>
      </w:pPr>
      <w:r>
        <w:t xml:space="preserve">Ignoring whether anyone will maintain the artifact once written.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2026-04-20T13:34:46Z</dcterms:created>
  <dcterms:modified xsi:type="dcterms:W3CDTF">2026-04-20T13:34:46Z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