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ssion-2--resources"/>
    <w:p>
      <w:pPr>
        <w:pStyle w:val="Heading1"/>
      </w:pPr>
      <w:r>
        <w:t xml:space="preserve">Session 2 — Resources</w:t>
      </w:r>
    </w:p>
    <w:p>
      <w:pPr>
        <w:pStyle w:val="FirstParagraph"/>
      </w:pPr>
      <w:r>
        <w:t xml:space="preserve">Curated readings to support Session 2: Technical Debt as Friction. These sources sharpen the distinction between local code smells and broader project debt, ground the "interest" metaphor in operational reality, and give students a vocabulary for documenting engineering quality.</w:t>
      </w:r>
    </w:p>
    <w:p>
      <w:r>
        <w:pict>
          <v:rect style="width:0;height:1.5pt" o:hralign="center" o:hrstd="t" o:hr="t"/>
        </w:pict>
      </w:r>
    </w:p>
    <w:bookmarkStart w:id="15" w:name="core-readings"/>
    <w:p>
      <w:pPr>
        <w:pStyle w:val="Heading2"/>
      </w:pPr>
      <w:r>
        <w:t xml:space="preserve">Core readings</w:t>
      </w:r>
    </w:p>
    <w:bookmarkStart w:id="10" w:name="martin-fowler--code-smell"/>
    <w:p>
      <w:pPr>
        <w:pStyle w:val="Heading3"/>
      </w:pPr>
      <w:r>
        <w:t xml:space="preserve">Martin Fowler — Code Smell</w:t>
      </w:r>
    </w:p>
    <w:p>
      <w:pPr>
        <w:pStyle w:val="FirstParagraph"/>
      </w:pPr>
      <w:r>
        <w:t xml:space="preserve">Link:</w:t>
      </w:r>
      <w:r>
        <w:t xml:space="preserve"> </w:t>
      </w:r>
      <w:hyperlink r:id="rId9">
        <w:r>
          <w:rPr>
            <w:rStyle w:val="Hyperlink"/>
          </w:rPr>
          <w:t xml:space="preserve">https://martinfowler.com/bliki/CodeSmell.html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1"/>
        </w:numPr>
      </w:pPr>
      <w:r>
        <w:t xml:space="preserve">Useful for distinguishing local code smells from broader project debt.</w:t>
      </w:r>
    </w:p>
    <w:p>
      <w:pPr>
        <w:pStyle w:val="Compact"/>
        <w:numPr>
          <w:ilvl w:val="0"/>
          <w:numId w:val="1001"/>
        </w:numPr>
      </w:pPr>
      <w:r>
        <w:t xml:space="preserve">Helps students see that a smell is a surface-level hint, not the whole problem.</w:t>
      </w:r>
    </w:p>
    <w:p>
      <w:pPr>
        <w:pStyle w:val="Compact"/>
        <w:numPr>
          <w:ilvl w:val="0"/>
          <w:numId w:val="1001"/>
        </w:numPr>
      </w:pPr>
      <w:r>
        <w:t xml:space="preserve">Pairs well with the "Smell or Debt?" lightweight activity.</w:t>
      </w:r>
    </w:p>
    <w:bookmarkEnd w:id="10"/>
    <w:bookmarkStart w:id="12" w:name="twelve-factor-app"/>
    <w:p>
      <w:pPr>
        <w:pStyle w:val="Heading3"/>
      </w:pPr>
      <w:r>
        <w:t xml:space="preserve">Twelve-Factor App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1">
        <w:r>
          <w:rPr>
            <w:rStyle w:val="Hyperlink"/>
          </w:rPr>
          <w:t xml:space="preserve">https://12factor.net/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2"/>
        </w:numPr>
      </w:pPr>
      <w:r>
        <w:t xml:space="preserve">Especially useful for configuration, dev/prod parity, logs, and operational discipline.</w:t>
      </w:r>
    </w:p>
    <w:p>
      <w:pPr>
        <w:pStyle w:val="Compact"/>
        <w:numPr>
          <w:ilvl w:val="0"/>
          <w:numId w:val="1002"/>
        </w:numPr>
      </w:pPr>
      <w:r>
        <w:t xml:space="preserve">Names the non-code categories of debt — environment, release, observability — in a concise, widely-cited form.</w:t>
      </w:r>
    </w:p>
    <w:p>
      <w:pPr>
        <w:pStyle w:val="Compact"/>
        <w:numPr>
          <w:ilvl w:val="0"/>
          <w:numId w:val="1002"/>
        </w:numPr>
      </w:pPr>
      <w:r>
        <w:t xml:space="preserve">A strong reference when discussing why "it works on my machine" is debt, not a quirk.</w:t>
      </w:r>
    </w:p>
    <w:bookmarkEnd w:id="12"/>
    <w:bookmarkStart w:id="14" w:name="X9354a8d260401af3ccd7be74f9fd64921fd786f"/>
    <w:p>
      <w:pPr>
        <w:pStyle w:val="Heading3"/>
      </w:pPr>
      <w:r>
        <w:t xml:space="preserve">Principles of Technical Documentation (arc42)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3">
        <w:r>
          <w:rPr>
            <w:rStyle w:val="Hyperlink"/>
          </w:rPr>
          <w:t xml:space="preserve">https://arc42.org/principles-of-technical-documentation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3"/>
        </w:numPr>
      </w:pPr>
      <w:r>
        <w:t xml:space="preserve">Good source for explaining why documentation quality is part of engineering quality.</w:t>
      </w:r>
    </w:p>
    <w:p>
      <w:pPr>
        <w:pStyle w:val="Compact"/>
        <w:numPr>
          <w:ilvl w:val="0"/>
          <w:numId w:val="1003"/>
        </w:numPr>
      </w:pPr>
      <w:r>
        <w:t xml:space="preserve">Supports the framing that knowledge debt is first-class debt, not a nice-to-have.</w:t>
      </w:r>
    </w:p>
    <w:p>
      <w:pPr>
        <w:pStyle w:val="Compact"/>
        <w:numPr>
          <w:ilvl w:val="0"/>
          <w:numId w:val="1003"/>
        </w:numPr>
      </w:pPr>
      <w:r>
        <w:t xml:space="preserve">Practical, implementation-agnostic, and compatible with how most teams actually work.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supplementary-reading-optional"/>
    <w:p>
      <w:pPr>
        <w:pStyle w:val="Heading2"/>
      </w:pPr>
      <w:r>
        <w:t xml:space="preserve">Supplementary reading (optional)</w:t>
      </w:r>
    </w:p>
    <w:bookmarkStart w:id="17" w:name="martin-fowler--technical-debt"/>
    <w:p>
      <w:pPr>
        <w:pStyle w:val="Heading3"/>
      </w:pPr>
      <w:r>
        <w:t xml:space="preserve">Martin Fowler — Technical Debt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6">
        <w:r>
          <w:rPr>
            <w:rStyle w:val="Hyperlink"/>
          </w:rPr>
          <w:t xml:space="preserve">https://martinfowler.com/bliki/TechnicalDebt.html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4"/>
        </w:numPr>
      </w:pPr>
      <w:r>
        <w:t xml:space="preserve">Foundational framing of the debt metaphor and the idea of "interest."</w:t>
      </w:r>
    </w:p>
    <w:p>
      <w:pPr>
        <w:pStyle w:val="Compact"/>
        <w:numPr>
          <w:ilvl w:val="0"/>
          <w:numId w:val="1004"/>
        </w:numPr>
      </w:pPr>
      <w:r>
        <w:t xml:space="preserve">Introduced briefly in Session 1; worth a re-read before Session 2 if students want the original source.</w:t>
      </w:r>
    </w:p>
    <w:bookmarkEnd w:id="17"/>
    <w:bookmarkStart w:id="19" w:name="martin-fowler--technical-debt-quadrant"/>
    <w:p>
      <w:pPr>
        <w:pStyle w:val="Heading3"/>
      </w:pPr>
      <w:r>
        <w:t xml:space="preserve">Martin Fowler — Technical Debt Quadrant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8">
        <w:r>
          <w:rPr>
            <w:rStyle w:val="Hyperlink"/>
          </w:rPr>
          <w:t xml:space="preserve">https://martinfowler.com/bliki/TechnicalDebtQuadrant.html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5"/>
        </w:numPr>
      </w:pPr>
      <w:r>
        <w:t xml:space="preserve">Helps students think beyond simplistic "good vs. bad" design decisions.</w:t>
      </w:r>
    </w:p>
    <w:p>
      <w:pPr>
        <w:pStyle w:val="Compact"/>
        <w:numPr>
          <w:ilvl w:val="0"/>
          <w:numId w:val="1005"/>
        </w:numPr>
      </w:pPr>
      <w:r>
        <w:t xml:space="preserve">Useful in debrief when students want to distinguish deliberate debt from accidental debt.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how-to-use-these-during-class"/>
    <w:p>
      <w:pPr>
        <w:pStyle w:val="Heading2"/>
      </w:pPr>
      <w:r>
        <w:t xml:space="preserve">How to use these during class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Code Smell</w:t>
      </w:r>
      <w:r>
        <w:t xml:space="preserve"> </w:t>
      </w:r>
      <w:r>
        <w:t xml:space="preserve">before the "Smell or Debt?" lightweight activity.</w:t>
      </w:r>
    </w:p>
    <w:p>
      <w:pPr>
        <w:pStyle w:val="Compact"/>
        <w:numPr>
          <w:ilvl w:val="0"/>
          <w:numId w:val="1006"/>
        </w:numPr>
      </w:pPr>
      <w:r>
        <w:t xml:space="preserve">Scan</w:t>
      </w:r>
      <w:r>
        <w:t xml:space="preserve"> </w:t>
      </w:r>
      <w:r>
        <w:rPr>
          <w:b/>
          <w:bCs/>
        </w:rPr>
        <w:t xml:space="preserve">Twelve-Factor App</w:t>
      </w:r>
      <w:r>
        <w:t xml:space="preserve"> </w:t>
      </w:r>
      <w:r>
        <w:t xml:space="preserve">before the Friction Map exercise — it helps students spot environment, config, and release debt they would otherwise miss.</w:t>
      </w:r>
    </w:p>
    <w:p>
      <w:pPr>
        <w:pStyle w:val="Compact"/>
        <w:numPr>
          <w:ilvl w:val="0"/>
          <w:numId w:val="1006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Principles of Technical Documentation</w:t>
      </w:r>
      <w:r>
        <w:t xml:space="preserve"> </w:t>
      </w:r>
      <w:r>
        <w:t xml:space="preserve">as a reference for anyone whose debt inventory is heavy on knowledge-debt items.</w:t>
      </w:r>
    </w:p>
    <w:p>
      <w:r>
        <w:pict>
          <v:rect style="width:0;height:1.5pt" o:hralign="center" o:hrstd="t" o:hr="t"/>
        </w:pict>
      </w:r>
    </w:p>
    <w:bookmarkEnd w:id="21"/>
    <w:bookmarkStart w:id="22" w:name="cheat-sheet-framing"/>
    <w:p>
      <w:pPr>
        <w:pStyle w:val="Heading2"/>
      </w:pPr>
      <w:r>
        <w:t xml:space="preserve">Cheat-sheet framing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code smell</w:t>
      </w:r>
      <w:r>
        <w:t xml:space="preserve"> </w:t>
      </w:r>
      <w:r>
        <w:t xml:space="preserve">is a local, surface-level signal. It is usually cheap to fix in isolation.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Technical debt</w:t>
      </w:r>
      <w:r>
        <w:t xml:space="preserve"> </w:t>
      </w:r>
      <w:r>
        <w:t xml:space="preserve">is broader — it shows up in environment, data, release, operations, security, and workflow, not just code.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interest</w:t>
      </w:r>
      <w:r>
        <w:t xml:space="preserve"> </w:t>
      </w:r>
      <w:r>
        <w:t xml:space="preserve">is whatever the team keeps paying because the debt exists.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principal</w:t>
      </w:r>
      <w:r>
        <w:t xml:space="preserve"> </w:t>
      </w:r>
      <w:r>
        <w:t xml:space="preserve">rarely appears on a roadmap. The interest is paid quietly, forever, until someone names it.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12factor.net/" TargetMode="External" /><Relationship Type="http://schemas.openxmlformats.org/officeDocument/2006/relationships/hyperlink" Id="rId13" Target="https://arc42.org/principles-of-technical-documentation" TargetMode="External" /><Relationship Type="http://schemas.openxmlformats.org/officeDocument/2006/relationships/hyperlink" Id="rId9" Target="https://martinfowler.com/bliki/CodeSmell.html" TargetMode="External" /><Relationship Type="http://schemas.openxmlformats.org/officeDocument/2006/relationships/hyperlink" Id="rId16" Target="https://martinfowler.com/bliki/TechnicalDebt.html" TargetMode="External" /><Relationship Type="http://schemas.openxmlformats.org/officeDocument/2006/relationships/hyperlink" Id="rId18" Target="https://martinfowler.com/bliki/TechnicalDebtQuadran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12factor.net/" TargetMode="External" /><Relationship Type="http://schemas.openxmlformats.org/officeDocument/2006/relationships/hyperlink" Id="rId13" Target="https://arc42.org/principles-of-technical-documentation" TargetMode="External" /><Relationship Type="http://schemas.openxmlformats.org/officeDocument/2006/relationships/hyperlink" Id="rId9" Target="https://martinfowler.com/bliki/CodeSmell.html" TargetMode="External" /><Relationship Type="http://schemas.openxmlformats.org/officeDocument/2006/relationships/hyperlink" Id="rId16" Target="https://martinfowler.com/bliki/TechnicalDebt.html" TargetMode="External" /><Relationship Type="http://schemas.openxmlformats.org/officeDocument/2006/relationships/hyperlink" Id="rId18" Target="https://martinfowler.com/bliki/TechnicalDebtQuadran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2026-04-20T13:36:31Z</dcterms:created>
  <dcterms:modified xsi:type="dcterms:W3CDTF">2026-04-20T13:36:31Z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