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9" w:name="weekly-ai-assisted-engineering-scorecard"/>
    <w:p>
      <w:pPr>
        <w:pStyle w:val="Heading1"/>
      </w:pPr>
      <w:r>
        <w:t xml:space="preserve">Weekly AI-Assisted Engineering Scorecard</w:t>
      </w:r>
    </w:p>
    <w:p>
      <w:pPr>
        <w:pStyle w:val="FirstParagraph"/>
      </w:pPr>
      <w:r>
        <w:t xml:space="preserve">This sample Week 1 scorecard is based on the baseline survey and initial program setup for the Ensemble cohort. It is written as an example sponsor-facing readout.</w:t>
      </w:r>
    </w:p>
    <w:bookmarkStart w:id="9" w:name="week"/>
    <w:p>
      <w:pPr>
        <w:pStyle w:val="Heading2"/>
      </w:pPr>
      <w:r>
        <w:t xml:space="preserve">Week</w:t>
      </w:r>
    </w:p>
    <w:p>
      <w:pPr>
        <w:pStyle w:val="Compact"/>
        <w:numPr>
          <w:ilvl w:val="0"/>
          <w:numId w:val="1001"/>
        </w:numPr>
      </w:pPr>
      <w:r>
        <w:t xml:space="preserve">Week of:</w:t>
      </w:r>
      <w:r>
        <w:t xml:space="preserve"> </w:t>
      </w:r>
      <w:r>
        <w:rPr>
          <w:rStyle w:val="VerbatimChar"/>
        </w:rPr>
        <w:t xml:space="preserve">Week 1 / Baseline</w:t>
      </w:r>
    </w:p>
    <w:p>
      <w:pPr>
        <w:pStyle w:val="Compact"/>
        <w:numPr>
          <w:ilvl w:val="0"/>
          <w:numId w:val="1001"/>
        </w:numPr>
      </w:pPr>
      <w:r>
        <w:t xml:space="preserve">Cohort / team(s):</w:t>
      </w:r>
      <w:r>
        <w:t xml:space="preserve"> </w:t>
      </w:r>
      <w:r>
        <w:rPr>
          <w:rStyle w:val="VerbatimChar"/>
        </w:rPr>
        <w:t xml:space="preserve">Ensemble pilot cohort</w:t>
      </w:r>
    </w:p>
    <w:p>
      <w:pPr>
        <w:pStyle w:val="Compact"/>
        <w:numPr>
          <w:ilvl w:val="0"/>
          <w:numId w:val="1001"/>
        </w:numPr>
      </w:pPr>
      <w:r>
        <w:t xml:space="preserve">Prepared by:</w:t>
      </w:r>
      <w:r>
        <w:t xml:space="preserve"> </w:t>
      </w:r>
      <w:r>
        <w:rPr>
          <w:rStyle w:val="VerbatimChar"/>
        </w:rPr>
        <w:t xml:space="preserve">Integral Dragon</w:t>
      </w:r>
    </w:p>
    <w:bookmarkEnd w:id="9"/>
    <w:bookmarkStart w:id="10" w:name="executive-snapshot"/>
    <w:p>
      <w:pPr>
        <w:pStyle w:val="Heading2"/>
      </w:pPr>
      <w:r>
        <w:t xml:space="preserve">Executive Snapshot</w:t>
      </w:r>
    </w:p>
    <w:p>
      <w:pPr>
        <w:pStyle w:val="Compact"/>
        <w:numPr>
          <w:ilvl w:val="0"/>
          <w:numId w:val="1002"/>
        </w:numPr>
      </w:pPr>
      <w:r>
        <w:t xml:space="preserve">Overall status:</w:t>
      </w:r>
      <w:r>
        <w:t xml:space="preserve"> </w:t>
      </w:r>
      <w:r>
        <w:rPr>
          <w:rStyle w:val="VerbatimChar"/>
        </w:rPr>
        <w:t xml:space="preserve">Green</w:t>
      </w:r>
    </w:p>
    <w:p>
      <w:pPr>
        <w:pStyle w:val="Compact"/>
        <w:numPr>
          <w:ilvl w:val="0"/>
          <w:numId w:val="1002"/>
        </w:numPr>
      </w:pPr>
      <w:r>
        <w:t xml:space="preserve">This week in one sentence:</w:t>
      </w:r>
      <w:r>
        <w:t xml:space="preserve"> </w:t>
      </w:r>
      <w:r>
        <w:rPr>
          <w:rStyle w:val="VerbatimChar"/>
        </w:rPr>
        <w:t xml:space="preserve">The cohort is already actively using AI, and the primary opportunity is to improve reviewability, testing discipline, and safe workflow integration rather than basic awareness.</w:t>
      </w:r>
    </w:p>
    <w:p>
      <w:pPr>
        <w:pStyle w:val="Compact"/>
        <w:numPr>
          <w:ilvl w:val="0"/>
          <w:numId w:val="1002"/>
        </w:numPr>
      </w:pPr>
      <w:r>
        <w:t xml:space="preserve">Biggest improvement:</w:t>
      </w:r>
      <w:r>
        <w:t xml:space="preserve"> </w:t>
      </w:r>
      <w:r>
        <w:rPr>
          <w:rStyle w:val="VerbatimChar"/>
        </w:rPr>
        <w:t xml:space="preserve">We now have a clear baseline on adoption, blockers, preferred learning modes, and what the cohort wants optimized first.</w:t>
      </w:r>
    </w:p>
    <w:p>
      <w:pPr>
        <w:pStyle w:val="Compact"/>
        <w:numPr>
          <w:ilvl w:val="0"/>
          <w:numId w:val="1002"/>
        </w:numPr>
      </w:pPr>
      <w:r>
        <w:t xml:space="preserve">Biggest risk or blocker:</w:t>
      </w:r>
      <w:r>
        <w:t xml:space="preserve"> </w:t>
      </w:r>
      <w:r>
        <w:rPr>
          <w:rStyle w:val="VerbatimChar"/>
        </w:rPr>
        <w:t xml:space="preserve">The largest near-term risks are output quality, security/privacy concerns, and uneven workflow fit across tools and governance constraints.</w:t>
      </w:r>
    </w:p>
    <w:bookmarkEnd w:id="10"/>
    <w:bookmarkStart w:id="11" w:name="adoption"/>
    <w:p>
      <w:pPr>
        <w:pStyle w:val="Heading2"/>
      </w:pPr>
      <w:r>
        <w:t xml:space="preserve">1. Adoption</w:t>
      </w:r>
    </w:p>
    <w:p>
      <w:pPr>
        <w:pStyle w:val="Compact"/>
        <w:numPr>
          <w:ilvl w:val="0"/>
          <w:numId w:val="1003"/>
        </w:numPr>
      </w:pPr>
      <w:r>
        <w:t xml:space="preserve">AI-assisted workflow used this week:</w:t>
      </w:r>
      <w:r>
        <w:t xml:space="preserve"> </w:t>
      </w:r>
      <w:r>
        <w:rPr>
          <w:rStyle w:val="VerbatimChar"/>
        </w:rPr>
        <w:t xml:space="preserve">18 / 26 participants daily (69%)</w:t>
      </w:r>
      <w:r>
        <w:t xml:space="preserve">, with</w:t>
      </w:r>
      <w:r>
        <w:t xml:space="preserve"> </w:t>
      </w:r>
      <w:r>
        <w:rPr>
          <w:rStyle w:val="VerbatimChar"/>
        </w:rPr>
        <w:t xml:space="preserve">24 / 26 (92%)</w:t>
      </w:r>
      <w:r>
        <w:t xml:space="preserve"> </w:t>
      </w:r>
      <w:r>
        <w:t xml:space="preserve">using AI at least several times per week</w:t>
      </w:r>
    </w:p>
    <w:p>
      <w:pPr>
        <w:pStyle w:val="Compact"/>
        <w:numPr>
          <w:ilvl w:val="0"/>
          <w:numId w:val="1003"/>
        </w:numPr>
      </w:pPr>
      <w:r>
        <w:t xml:space="preserve">Most-used workflow(s):</w:t>
      </w:r>
      <w:r>
        <w:t xml:space="preserve"> </w:t>
      </w:r>
      <w:r>
        <w:rPr>
          <w:rStyle w:val="VerbatimChar"/>
        </w:rPr>
        <w:t xml:space="preserve">codebase understanding</w:t>
      </w:r>
      <w:r>
        <w:t xml:space="preserve">,</w:t>
      </w:r>
      <w:r>
        <w:t xml:space="preserve"> </w:t>
      </w:r>
      <w:r>
        <w:rPr>
          <w:rStyle w:val="VerbatimChar"/>
        </w:rPr>
        <w:t xml:space="preserve">testing</w:t>
      </w:r>
      <w:r>
        <w:t xml:space="preserve">,</w:t>
      </w:r>
      <w:r>
        <w:t xml:space="preserve"> </w:t>
      </w:r>
      <w:r>
        <w:rPr>
          <w:rStyle w:val="VerbatimChar"/>
        </w:rPr>
        <w:t xml:space="preserve">debugging</w:t>
      </w:r>
      <w:r>
        <w:t xml:space="preserve">,</w:t>
      </w:r>
      <w:r>
        <w:t xml:space="preserve"> </w:t>
      </w:r>
      <w:r>
        <w:rPr>
          <w:rStyle w:val="VerbatimChar"/>
        </w:rPr>
        <w:t xml:space="preserve">small features from well-defined requirements</w:t>
      </w:r>
      <w:r>
        <w:t xml:space="preserve">,</w:t>
      </w:r>
      <w:r>
        <w:t xml:space="preserve"> </w:t>
      </w:r>
      <w:r>
        <w:rPr>
          <w:rStyle w:val="VerbatimChar"/>
        </w:rPr>
        <w:t xml:space="preserve">documentation</w:t>
      </w:r>
    </w:p>
    <w:p>
      <w:pPr>
        <w:pStyle w:val="Compact"/>
        <w:numPr>
          <w:ilvl w:val="0"/>
          <w:numId w:val="1003"/>
        </w:numPr>
      </w:pPr>
      <w:r>
        <w:t xml:space="preserve">Adoption trend vs prior week:</w:t>
      </w:r>
      <w:r>
        <w:t xml:space="preserve"> </w:t>
      </w:r>
      <w:r>
        <w:rPr>
          <w:rStyle w:val="VerbatimChar"/>
        </w:rPr>
        <w:t xml:space="preserve">Baseline established</w:t>
      </w:r>
    </w:p>
    <w:p>
      <w:pPr>
        <w:pStyle w:val="Compact"/>
        <w:numPr>
          <w:ilvl w:val="0"/>
          <w:numId w:val="1003"/>
        </w:numPr>
      </w:pPr>
      <w:r>
        <w:t xml:space="preserve">Notes:</w:t>
      </w:r>
      <w:r>
        <w:t xml:space="preserve"> </w:t>
      </w:r>
      <w:r>
        <w:rPr>
          <w:rStyle w:val="VerbatimChar"/>
        </w:rPr>
        <w:t xml:space="preserve">The cohort is not starting from zero. GitHub Copilot, Claude, Microsoft Copilot, Claude Code, and ChatGPT are already in active use. The enablement need is disciplined operating practice, not tool awareness.</w:t>
      </w:r>
    </w:p>
    <w:bookmarkEnd w:id="11"/>
    <w:bookmarkStart w:id="12" w:name="delivery"/>
    <w:p>
      <w:pPr>
        <w:pStyle w:val="Heading2"/>
      </w:pPr>
      <w:r>
        <w:t xml:space="preserve">2. Delivery</w:t>
      </w:r>
    </w:p>
    <w:p>
      <w:pPr>
        <w:pStyle w:val="Compact"/>
        <w:numPr>
          <w:ilvl w:val="0"/>
          <w:numId w:val="1004"/>
        </w:numPr>
      </w:pPr>
      <w:r>
        <w:t xml:space="preserve">PRs completed using AI-assisted workflow:</w:t>
      </w:r>
      <w:r>
        <w:t xml:space="preserve"> </w:t>
      </w:r>
      <w:r>
        <w:rPr>
          <w:rStyle w:val="VerbatimChar"/>
        </w:rPr>
        <w:t xml:space="preserve">Baseline not yet tracked</w:t>
      </w:r>
    </w:p>
    <w:p>
      <w:pPr>
        <w:pStyle w:val="Compact"/>
        <w:numPr>
          <w:ilvl w:val="0"/>
          <w:numId w:val="1004"/>
        </w:numPr>
      </w:pPr>
      <w:r>
        <w:t xml:space="preserve">Average time to merge:</w:t>
      </w:r>
      <w:r>
        <w:t xml:space="preserve"> </w:t>
      </w:r>
      <w:r>
        <w:rPr>
          <w:rStyle w:val="VerbatimChar"/>
        </w:rPr>
        <w:t xml:space="preserve">Baseline not yet tracked</w:t>
      </w:r>
    </w:p>
    <w:p>
      <w:pPr>
        <w:pStyle w:val="Compact"/>
        <w:numPr>
          <w:ilvl w:val="0"/>
          <w:numId w:val="1004"/>
        </w:numPr>
      </w:pPr>
      <w:r>
        <w:t xml:space="preserve">Cycle-time trend:</w:t>
      </w:r>
      <w:r>
        <w:t xml:space="preserve"> </w:t>
      </w:r>
      <w:r>
        <w:rPr>
          <w:rStyle w:val="VerbatimChar"/>
        </w:rPr>
        <w:t xml:space="preserve">Baseline not yet tracked</w:t>
      </w:r>
    </w:p>
    <w:p>
      <w:pPr>
        <w:pStyle w:val="Compact"/>
        <w:numPr>
          <w:ilvl w:val="0"/>
          <w:numId w:val="1004"/>
        </w:numPr>
      </w:pPr>
      <w:r>
        <w:t xml:space="preserve">Small-diff / reviewable PR pattern observed:</w:t>
      </w:r>
      <w:r>
        <w:t xml:space="preserve"> </w:t>
      </w:r>
      <w:r>
        <w:rPr>
          <w:rStyle w:val="VerbatimChar"/>
        </w:rPr>
        <w:t xml:space="preserve">Expected program emphasis</w:t>
      </w:r>
    </w:p>
    <w:p>
      <w:pPr>
        <w:pStyle w:val="Compact"/>
        <w:numPr>
          <w:ilvl w:val="0"/>
          <w:numId w:val="1004"/>
        </w:numPr>
      </w:pPr>
      <w:r>
        <w:t xml:space="preserve">Notes:</w:t>
      </w:r>
      <w:r>
        <w:t xml:space="preserve"> </w:t>
      </w:r>
      <w:r>
        <w:rPr>
          <w:rStyle w:val="VerbatimChar"/>
        </w:rPr>
        <w:t xml:space="preserve">The survey suggests the strongest delivery levers will be PR throughput, smaller reviewable diffs, and reduced review thrash rather than raw output volume alone.</w:t>
      </w:r>
    </w:p>
    <w:bookmarkEnd w:id="12"/>
    <w:bookmarkStart w:id="13" w:name="quality"/>
    <w:p>
      <w:pPr>
        <w:pStyle w:val="Heading2"/>
      </w:pPr>
      <w:r>
        <w:t xml:space="preserve">3. Quality</w:t>
      </w:r>
    </w:p>
    <w:p>
      <w:pPr>
        <w:pStyle w:val="Compact"/>
        <w:numPr>
          <w:ilvl w:val="0"/>
          <w:numId w:val="1005"/>
        </w:numPr>
      </w:pPr>
      <w:r>
        <w:t xml:space="preserve">Tests added or updated:</w:t>
      </w:r>
      <w:r>
        <w:t xml:space="preserve"> </w:t>
      </w:r>
      <w:r>
        <w:rPr>
          <w:rStyle w:val="VerbatimChar"/>
        </w:rPr>
        <w:t xml:space="preserve">Baseline not yet tracked</w:t>
      </w:r>
    </w:p>
    <w:p>
      <w:pPr>
        <w:pStyle w:val="Compact"/>
        <w:numPr>
          <w:ilvl w:val="0"/>
          <w:numId w:val="1005"/>
        </w:numPr>
      </w:pPr>
      <w:r>
        <w:t xml:space="preserve">Coverage delta where available:</w:t>
      </w:r>
      <w:r>
        <w:t xml:space="preserve"> </w:t>
      </w:r>
      <w:r>
        <w:rPr>
          <w:rStyle w:val="VerbatimChar"/>
        </w:rPr>
        <w:t xml:space="preserve">Baseline not yet tracked</w:t>
      </w:r>
    </w:p>
    <w:p>
      <w:pPr>
        <w:pStyle w:val="Compact"/>
        <w:numPr>
          <w:ilvl w:val="0"/>
          <w:numId w:val="1005"/>
        </w:numPr>
      </w:pPr>
      <w:r>
        <w:t xml:space="preserve">Review iteration count / thrash trend:</w:t>
      </w:r>
      <w:r>
        <w:t xml:space="preserve"> </w:t>
      </w:r>
      <w:r>
        <w:rPr>
          <w:rStyle w:val="VerbatimChar"/>
        </w:rPr>
        <w:t xml:space="preserve">Baseline not yet tracked</w:t>
      </w:r>
    </w:p>
    <w:p>
      <w:pPr>
        <w:pStyle w:val="Compact"/>
        <w:numPr>
          <w:ilvl w:val="0"/>
          <w:numId w:val="1005"/>
        </w:numPr>
      </w:pPr>
      <w:r>
        <w:t xml:space="preserve">Defects or rework attributed to AI output:</w:t>
      </w:r>
      <w:r>
        <w:t xml:space="preserve"> </w:t>
      </w:r>
      <w:r>
        <w:rPr>
          <w:rStyle w:val="VerbatimChar"/>
        </w:rPr>
        <w:t xml:space="preserve">Not yet measured</w:t>
      </w:r>
    </w:p>
    <w:p>
      <w:pPr>
        <w:pStyle w:val="Compact"/>
        <w:numPr>
          <w:ilvl w:val="0"/>
          <w:numId w:val="1005"/>
        </w:numPr>
      </w:pPr>
      <w:r>
        <w:t xml:space="preserve">Notes:</w:t>
      </w:r>
      <w:r>
        <w:t xml:space="preserve"> </w:t>
      </w:r>
      <w:r>
        <w:rPr>
          <w:rStyle w:val="VerbatimChar"/>
        </w:rPr>
        <w:t xml:space="preserve">The cohort prioritized better test coverage and fewer regressions slightly ahead of speed-only outcomes. Quality concerns and hidden-bug risk remain among the top barriers to broader trust.</w:t>
      </w:r>
    </w:p>
    <w:bookmarkEnd w:id="13"/>
    <w:bookmarkStart w:id="14" w:name="reviewability"/>
    <w:p>
      <w:pPr>
        <w:pStyle w:val="Heading2"/>
      </w:pPr>
      <w:r>
        <w:t xml:space="preserve">4. Reviewability</w:t>
      </w:r>
    </w:p>
    <w:p>
      <w:pPr>
        <w:pStyle w:val="Compact"/>
        <w:numPr>
          <w:ilvl w:val="0"/>
          <w:numId w:val="1006"/>
        </w:numPr>
      </w:pPr>
      <w:r>
        <w:t xml:space="preserve">PRs included clear change summaries:</w:t>
      </w:r>
      <w:r>
        <w:t xml:space="preserve"> </w:t>
      </w:r>
      <w:r>
        <w:rPr>
          <w:rStyle w:val="VerbatimChar"/>
        </w:rPr>
        <w:t xml:space="preserve">Baseline expectation confirmed by survey</w:t>
      </w:r>
    </w:p>
    <w:p>
      <w:pPr>
        <w:pStyle w:val="Compact"/>
        <w:numPr>
          <w:ilvl w:val="0"/>
          <w:numId w:val="1006"/>
        </w:numPr>
      </w:pPr>
      <w:r>
        <w:t xml:space="preserve">PRs included rationale / trade-offs:</w:t>
      </w:r>
      <w:r>
        <w:t xml:space="preserve"> </w:t>
      </w:r>
      <w:r>
        <w:rPr>
          <w:rStyle w:val="VerbatimChar"/>
        </w:rPr>
        <w:t xml:space="preserve">Baseline expectation confirmed by survey</w:t>
      </w:r>
    </w:p>
    <w:p>
      <w:pPr>
        <w:pStyle w:val="Compact"/>
        <w:numPr>
          <w:ilvl w:val="0"/>
          <w:numId w:val="1006"/>
        </w:numPr>
      </w:pPr>
      <w:r>
        <w:t xml:space="preserve">PRs included test evidence:</w:t>
      </w:r>
      <w:r>
        <w:t xml:space="preserve"> </w:t>
      </w:r>
      <w:r>
        <w:rPr>
          <w:rStyle w:val="VerbatimChar"/>
        </w:rPr>
        <w:t xml:space="preserve">Baseline expectation confirmed by survey</w:t>
      </w:r>
    </w:p>
    <w:p>
      <w:pPr>
        <w:pStyle w:val="Compact"/>
        <w:numPr>
          <w:ilvl w:val="0"/>
          <w:numId w:val="1006"/>
        </w:numPr>
      </w:pPr>
      <w:r>
        <w:t xml:space="preserve">PRs included risk framing:</w:t>
      </w:r>
      <w:r>
        <w:t xml:space="preserve"> </w:t>
      </w:r>
      <w:r>
        <w:rPr>
          <w:rStyle w:val="VerbatimChar"/>
        </w:rPr>
        <w:t xml:space="preserve">Baseline expectation confirmed by survey</w:t>
      </w:r>
    </w:p>
    <w:p>
      <w:pPr>
        <w:pStyle w:val="Compact"/>
        <w:numPr>
          <w:ilvl w:val="0"/>
          <w:numId w:val="1006"/>
        </w:numPr>
      </w:pPr>
      <w:r>
        <w:t xml:space="preserve">Notes:</w:t>
      </w:r>
      <w:r>
        <w:t xml:space="preserve"> </w:t>
      </w:r>
      <w:r>
        <w:rPr>
          <w:rStyle w:val="VerbatimChar"/>
        </w:rPr>
        <w:t xml:space="preserve">Respondents consistently defined reviewable AI work as small diffs plus explicit summaries, testing evidence, rationale, and risk framing. This strongly supports the program’s plan -&gt; diff -&gt; test -&gt; narrate model.</w:t>
      </w:r>
    </w:p>
    <w:bookmarkEnd w:id="14"/>
    <w:bookmarkStart w:id="15" w:name="enablement"/>
    <w:p>
      <w:pPr>
        <w:pStyle w:val="Heading2"/>
      </w:pPr>
      <w:r>
        <w:t xml:space="preserve">5. Enablement</w:t>
      </w:r>
    </w:p>
    <w:p>
      <w:pPr>
        <w:pStyle w:val="Compact"/>
        <w:numPr>
          <w:ilvl w:val="0"/>
          <w:numId w:val="1007"/>
        </w:numPr>
      </w:pPr>
      <w:r>
        <w:t xml:space="preserve">Tooling / access blockers:</w:t>
      </w:r>
      <w:r>
        <w:t xml:space="preserve"> </w:t>
      </w:r>
      <w:r>
        <w:rPr>
          <w:rStyle w:val="VerbatimChar"/>
        </w:rPr>
        <w:t xml:space="preserve">Moderate</w:t>
      </w:r>
    </w:p>
    <w:p>
      <w:pPr>
        <w:pStyle w:val="Compact"/>
        <w:numPr>
          <w:ilvl w:val="0"/>
          <w:numId w:val="1007"/>
        </w:numPr>
      </w:pPr>
      <w:r>
        <w:t xml:space="preserve">Policy / governance questions raised this week:</w:t>
      </w:r>
      <w:r>
        <w:t xml:space="preserve"> </w:t>
      </w:r>
      <w:r>
        <w:rPr>
          <w:rStyle w:val="VerbatimChar"/>
        </w:rPr>
        <w:t xml:space="preserve">At least 6 respondents explicitly cited unclear policy/governance as a blocker; 19 reported concern about security/privacy.</w:t>
      </w:r>
    </w:p>
    <w:p>
      <w:pPr>
        <w:pStyle w:val="Compact"/>
        <w:numPr>
          <w:ilvl w:val="0"/>
          <w:numId w:val="1007"/>
        </w:numPr>
      </w:pPr>
      <w:r>
        <w:t xml:space="preserve">Workflow friction themes:</w:t>
      </w:r>
      <w:r>
        <w:t xml:space="preserve"> </w:t>
      </w:r>
      <w:r>
        <w:rPr>
          <w:rStyle w:val="VerbatimChar"/>
        </w:rPr>
        <w:t xml:space="preserve">quality of generated output</w:t>
      </w:r>
      <w:r>
        <w:t xml:space="preserve">,</w:t>
      </w:r>
      <w:r>
        <w:t xml:space="preserve"> </w:t>
      </w:r>
      <w:r>
        <w:rPr>
          <w:rStyle w:val="VerbatimChar"/>
        </w:rPr>
        <w:t xml:space="preserve">security and PHI-safe usage</w:t>
      </w:r>
      <w:r>
        <w:t xml:space="preserve">,</w:t>
      </w:r>
      <w:r>
        <w:t xml:space="preserve"> </w:t>
      </w:r>
      <w:r>
        <w:rPr>
          <w:rStyle w:val="VerbatimChar"/>
        </w:rPr>
        <w:t xml:space="preserve">tool setup/access</w:t>
      </w:r>
      <w:r>
        <w:t xml:space="preserve">,</w:t>
      </w:r>
      <w:r>
        <w:t xml:space="preserve"> </w:t>
      </w:r>
      <w:r>
        <w:rPr>
          <w:rStyle w:val="VerbatimChar"/>
        </w:rPr>
        <w:t xml:space="preserve">review burden</w:t>
      </w:r>
      <w:r>
        <w:t xml:space="preserve">,</w:t>
      </w:r>
      <w:r>
        <w:t xml:space="preserve"> </w:t>
      </w:r>
      <w:r>
        <w:rPr>
          <w:rStyle w:val="VerbatimChar"/>
        </w:rPr>
        <w:t xml:space="preserve">documentation and codebase understanding</w:t>
      </w:r>
    </w:p>
    <w:p>
      <w:pPr>
        <w:pStyle w:val="Compact"/>
        <w:numPr>
          <w:ilvl w:val="0"/>
          <w:numId w:val="1007"/>
        </w:numPr>
      </w:pPr>
      <w:r>
        <w:t xml:space="preserve">Support needed from leadership or platform teams:</w:t>
      </w:r>
      <w:r>
        <w:t xml:space="preserve"> </w:t>
      </w:r>
      <w:r>
        <w:rPr>
          <w:rStyle w:val="VerbatimChar"/>
        </w:rPr>
        <w:t xml:space="preserve">Clarify approved usage patterns, reduce access friction, and reinforce that careful review and transparent learning matter more than speed theater.</w:t>
      </w:r>
    </w:p>
    <w:bookmarkEnd w:id="15"/>
    <w:bookmarkStart w:id="16" w:name="high-signal-examples"/>
    <w:p>
      <w:pPr>
        <w:pStyle w:val="Heading2"/>
      </w:pPr>
      <w:r>
        <w:t xml:space="preserve">6. High-Signal Examples</w:t>
      </w:r>
    </w:p>
    <w:p>
      <w:pPr>
        <w:pStyle w:val="Compact"/>
        <w:numPr>
          <w:ilvl w:val="0"/>
          <w:numId w:val="1008"/>
        </w:numPr>
      </w:pPr>
      <w:r>
        <w:t xml:space="preserve">Example win:</w:t>
      </w:r>
      <w:r>
        <w:t xml:space="preserve"> </w:t>
      </w:r>
      <w:r>
        <w:rPr>
          <w:rStyle w:val="VerbatimChar"/>
        </w:rPr>
        <w:t xml:space="preserve">We now have a defensible baseline showing that the strongest initial use cases are understanding unfamiliar code, accelerating tests, and debugging/root-cause analysis.</w:t>
      </w:r>
    </w:p>
    <w:p>
      <w:pPr>
        <w:pStyle w:val="Compact"/>
        <w:numPr>
          <w:ilvl w:val="0"/>
          <w:numId w:val="1008"/>
        </w:numPr>
      </w:pPr>
      <w:r>
        <w:t xml:space="preserve">Example lesson learned or failure mode:</w:t>
      </w:r>
      <w:r>
        <w:t xml:space="preserve"> </w:t>
      </w:r>
      <w:r>
        <w:rPr>
          <w:rStyle w:val="VerbatimChar"/>
        </w:rPr>
        <w:t xml:space="preserve">The cohort is already AI-active, but adoption confidence is more mature technically than culturally. One of the lowest-scoring items was whether AI mistakes would be held against the engineer.</w:t>
      </w:r>
    </w:p>
    <w:p>
      <w:pPr>
        <w:pStyle w:val="Compact"/>
        <w:numPr>
          <w:ilvl w:val="0"/>
          <w:numId w:val="1008"/>
        </w:numPr>
      </w:pPr>
      <w:r>
        <w:t xml:space="preserve">Representative artifact(s):</w:t>
      </w:r>
      <w:r>
        <w:t xml:space="preserve"> </w:t>
      </w:r>
      <w:r>
        <w:rPr>
          <w:rStyle w:val="VerbatimChar"/>
        </w:rPr>
        <w:t xml:space="preserve">baseline survey analysis</w:t>
      </w:r>
      <w:r>
        <w:t xml:space="preserve">,</w:t>
      </w:r>
      <w:r>
        <w:t xml:space="preserve"> </w:t>
      </w:r>
      <w:r>
        <w:rPr>
          <w:rStyle w:val="VerbatimChar"/>
        </w:rPr>
        <w:t xml:space="preserve">training redesign</w:t>
      </w:r>
      <w:r>
        <w:t xml:space="preserve">,</w:t>
      </w:r>
      <w:r>
        <w:t xml:space="preserve"> </w:t>
      </w:r>
      <w:r>
        <w:rPr>
          <w:rStyle w:val="VerbatimChar"/>
        </w:rPr>
        <w:t xml:space="preserve">weekly scorecard</w:t>
      </w:r>
      <w:r>
        <w:t xml:space="preserve">,</w:t>
      </w:r>
      <w:r>
        <w:t xml:space="preserve"> </w:t>
      </w:r>
      <w:r>
        <w:rPr>
          <w:rStyle w:val="VerbatimChar"/>
        </w:rPr>
        <w:t xml:space="preserve">session materials</w:t>
      </w:r>
      <w:r>
        <w:t xml:space="preserve">,</w:t>
      </w:r>
      <w:r>
        <w:t xml:space="preserve"> </w:t>
      </w:r>
      <w:r>
        <w:rPr>
          <w:rStyle w:val="VerbatimChar"/>
        </w:rPr>
        <w:t xml:space="preserve">future PR and lab artifacts</w:t>
      </w:r>
    </w:p>
    <w:bookmarkEnd w:id="16"/>
    <w:bookmarkStart w:id="17" w:name="weekly-decision-ask"/>
    <w:p>
      <w:pPr>
        <w:pStyle w:val="Heading2"/>
      </w:pPr>
      <w:r>
        <w:t xml:space="preserve">7. Weekly Decision / Ask</w:t>
      </w:r>
    </w:p>
    <w:p>
      <w:pPr>
        <w:pStyle w:val="Compact"/>
        <w:numPr>
          <w:ilvl w:val="0"/>
          <w:numId w:val="1009"/>
        </w:numPr>
      </w:pPr>
      <w:r>
        <w:t xml:space="preserve">Continue as planned:</w:t>
      </w:r>
      <w:r>
        <w:t xml:space="preserve"> </w:t>
      </w:r>
      <w:r>
        <w:rPr>
          <w:rStyle w:val="VerbatimChar"/>
        </w:rPr>
        <w:t xml:space="preserve">Yes</w:t>
      </w:r>
    </w:p>
    <w:p>
      <w:pPr>
        <w:pStyle w:val="Compact"/>
        <w:numPr>
          <w:ilvl w:val="0"/>
          <w:numId w:val="1009"/>
        </w:numPr>
      </w:pPr>
      <w:r>
        <w:t xml:space="preserve">Adjust next week’s emphasis toward:</w:t>
      </w:r>
      <w:r>
        <w:t xml:space="preserve"> </w:t>
      </w:r>
      <w:r>
        <w:rPr>
          <w:rStyle w:val="VerbatimChar"/>
        </w:rPr>
        <w:t xml:space="preserve">testing</w:t>
      </w:r>
      <w:r>
        <w:t xml:space="preserve">,</w:t>
      </w:r>
      <w:r>
        <w:t xml:space="preserve"> </w:t>
      </w:r>
      <w:r>
        <w:rPr>
          <w:rStyle w:val="VerbatimChar"/>
        </w:rPr>
        <w:t xml:space="preserve">reviewability</w:t>
      </w:r>
      <w:r>
        <w:t xml:space="preserve">,</w:t>
      </w:r>
      <w:r>
        <w:t xml:space="preserve"> </w:t>
      </w:r>
      <w:r>
        <w:rPr>
          <w:rStyle w:val="VerbatimChar"/>
        </w:rPr>
        <w:t xml:space="preserve">policy</w:t>
      </w:r>
      <w:r>
        <w:t xml:space="preserve">,</w:t>
      </w:r>
      <w:r>
        <w:t xml:space="preserve"> </w:t>
      </w:r>
      <w:r>
        <w:rPr>
          <w:rStyle w:val="VerbatimChar"/>
        </w:rPr>
        <w:t xml:space="preserve">tooling</w:t>
      </w:r>
      <w:r>
        <w:t xml:space="preserve">,</w:t>
      </w:r>
      <w:r>
        <w:t xml:space="preserve"> </w:t>
      </w:r>
      <w:r>
        <w:rPr>
          <w:rStyle w:val="VerbatimChar"/>
        </w:rPr>
        <w:t xml:space="preserve">codebase understanding</w:t>
      </w:r>
    </w:p>
    <w:p>
      <w:pPr>
        <w:pStyle w:val="Compact"/>
        <w:numPr>
          <w:ilvl w:val="0"/>
          <w:numId w:val="1009"/>
        </w:numPr>
      </w:pPr>
      <w:r>
        <w:t xml:space="preserve">Specific ask from sponsors or leadership:</w:t>
      </w:r>
      <w:r>
        <w:t xml:space="preserve"> </w:t>
      </w:r>
      <w:r>
        <w:rPr>
          <w:rStyle w:val="VerbatimChar"/>
        </w:rPr>
        <w:t xml:space="preserve">Support a quality-first adoption model. The data suggests this cohort will respond best to clearer guardrails, practical examples, and reviewable engineering workflows rather than generic AI awareness messaging.</w:t>
      </w:r>
    </w:p>
    <w:bookmarkEnd w:id="17"/>
    <w:bookmarkStart w:id="18" w:name="recommended-use"/>
    <w:p>
      <w:pPr>
        <w:pStyle w:val="Heading2"/>
      </w:pPr>
      <w:r>
        <w:t xml:space="preserve">Recommended Use</w:t>
      </w:r>
    </w:p>
    <w:p>
      <w:pPr>
        <w:pStyle w:val="Compact"/>
        <w:numPr>
          <w:ilvl w:val="0"/>
          <w:numId w:val="1010"/>
        </w:numPr>
      </w:pPr>
      <w:r>
        <w:t xml:space="preserve">Use this every week as a short operating pulse.</w:t>
      </w:r>
    </w:p>
    <w:p>
      <w:pPr>
        <w:pStyle w:val="Compact"/>
        <w:numPr>
          <w:ilvl w:val="0"/>
          <w:numId w:val="1010"/>
        </w:numPr>
      </w:pPr>
      <w:r>
        <w:t xml:space="preserve">Keep Baseline, Week 4, and Week 8 surveys as the formal sentiment/confidence checkpoints.</w:t>
      </w:r>
    </w:p>
    <w:p>
      <w:pPr>
        <w:pStyle w:val="Compact"/>
        <w:numPr>
          <w:ilvl w:val="0"/>
          <w:numId w:val="1010"/>
        </w:numPr>
      </w:pPr>
      <w:r>
        <w:t xml:space="preserve">Keep the scorecard to one page and evidence-based wherever possible.</w:t>
      </w:r>
    </w:p>
    <w:bookmarkEnd w:id="18"/>
    <w:bookmarkEnd w:id="1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2026-04-09T17:37:55Z</dcterms:created>
  <dcterms:modified xsi:type="dcterms:W3CDTF">2026-04-09T17:37:55Z</dcterms:modified>
</cp:coreProperties>
</file>

<file path=docProps/custom.xml><?xml version="1.0" encoding="utf-8"?>
<Properties xmlns="http://schemas.openxmlformats.org/officeDocument/2006/custom-properties" xmlns:vt="http://schemas.openxmlformats.org/officeDocument/2006/docPropsVTypes"/>
</file>