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0"/>
      </w:pPr>
    </w:p>
    <w:p>
      <w:pPr>
        <w:spacing w:before="0" w:after="80"/>
      </w:pPr>
      <w:r>
        <w:rPr>
          <w:rFonts w:ascii="Calibri" w:hAnsi="Calibri"/>
          <w:rFonts w:ascii="Calibri" w:hAnsi="Calibri" w:cs="Calibri"/>
          <w:b w:val="0"/>
          <w:i w:val="0"/>
          <w:color w:val="E86C00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Calibri" w:hAnsi="Calibri"/>
          <w:rFonts w:ascii="Calibri" w:hAnsi="Calibri" w:cs="Calibri"/>
          <w:b/>
          <w:i w:val="0"/>
          <w:color w:val="0B2A4A"/>
          <w:sz w:val="28"/>
        </w:rPr>
        <w:t>INTEGRAL DRAGON</w:t>
      </w:r>
    </w:p>
    <w:p>
      <w:pPr>
        <w:spacing w:before="160" w:after="80"/>
      </w:pPr>
      <w:r>
        <w:rPr>
          <w:rFonts w:ascii="Calibri" w:hAnsi="Calibri"/>
          <w:rFonts w:ascii="Calibri" w:hAnsi="Calibri" w:cs="Calibri"/>
          <w:b/>
          <w:i w:val="0"/>
          <w:color w:val="0B2A4A"/>
          <w:sz w:val="56"/>
        </w:rPr>
        <w:t>Session 05: Spec-Driven Development — Reading List</w:t>
      </w:r>
    </w:p>
    <w:p>
      <w:pPr>
        <w:spacing w:before="80" w:after="240"/>
      </w:pPr>
      <w:r>
        <w:rPr>
          <w:rFonts w:ascii="Calibri" w:hAnsi="Calibri"/>
          <w:rFonts w:ascii="Calibri" w:hAnsi="Calibri" w:cs="Calibri"/>
          <w:b w:val="0"/>
          <w:i w:val="0"/>
          <w:color w:val="1A73E8"/>
          <w:sz w:val="28"/>
        </w:rPr>
        <w:t>Curated References and Follow-Through Checklist</w:t>
      </w:r>
    </w:p>
    <w:p>
      <w:pPr>
        <w:spacing w:before="0" w:after="160"/>
      </w:pPr>
      <w:r>
        <w:rPr>
          <w:rFonts w:ascii="Calibri" w:hAnsi="Calibri"/>
          <w:rFonts w:ascii="Calibri" w:hAnsi="Calibri" w:cs="Calibri"/>
          <w:b w:val="0"/>
          <w:i w:val="0"/>
          <w:color w:val="E86C00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0"/>
      </w:pPr>
      <w:r>
        <w:rPr>
          <w:rFonts w:ascii="Calibri" w:hAnsi="Calibri"/>
          <w:rFonts w:ascii="Calibri" w:hAnsi="Calibri" w:cs="Calibri"/>
          <w:b w:val="0"/>
          <w:i/>
          <w:color w:val="666666"/>
          <w:sz w:val="20"/>
        </w:rPr>
        <w:t>Prepared by Integral Dragon</w:t>
      </w:r>
    </w:p>
    <w:p>
      <w:r>
        <w:br w:type="page"/>
      </w:r>
    </w:p>
    <w:p>
      <w:pPr>
        <w:spacing w:before="0" w:after="240"/>
      </w:pPr>
      <w:r>
        <w:rPr>
          <w:rFonts w:ascii="Calibri" w:hAnsi="Calibri"/>
          <w:rFonts w:ascii="Calibri" w:hAnsi="Calibri" w:cs="Calibri"/>
          <w:b w:val="0"/>
          <w:i/>
          <w:color w:val="666666"/>
          <w:sz w:val="22"/>
        </w:rPr>
        <w:t>Verified on 2026-04-09. Primary sources prioritized.</w:t>
      </w:r>
    </w:p>
    <w:p>
      <w:pPr>
        <w:spacing w:before="360" w:after="160"/>
      </w:pPr>
      <w:r>
        <w:rPr>
          <w:rFonts w:ascii="Calibri" w:hAnsi="Calibri"/>
          <w:rFonts w:ascii="Calibri" w:hAnsi="Calibri" w:cs="Calibri"/>
          <w:b/>
          <w:i w:val="0"/>
          <w:color w:val="0B2A4A"/>
          <w:sz w:val="32"/>
        </w:rPr>
        <w:t>Core References</w:t>
      </w:r>
    </w:p>
    <w:p>
      <w:pPr>
        <w:spacing w:before="280" w:after="80"/>
      </w:pPr>
      <w:r>
        <w:rPr>
          <w:rFonts w:ascii="Calibri" w:hAnsi="Calibri"/>
          <w:rFonts w:ascii="Calibri" w:hAnsi="Calibri" w:cs="Calibri"/>
          <w:b/>
          <w:i w:val="0"/>
          <w:color w:val="1A73E8"/>
          <w:sz w:val="26"/>
        </w:rPr>
        <w:t>1. Thoughtworks Technology Radar Vol. 33</w:t>
      </w:r>
    </w:p>
    <w:p>
      <w:pPr>
        <w:spacing w:before="0" w:after="80"/>
      </w:pPr>
      <w:r>
        <w:rPr>
          <w:rFonts w:ascii="Calibri" w:hAnsi="Calibri"/>
          <w:rFonts w:ascii="Calibri" w:hAnsi="Calibri" w:cs="Calibri"/>
          <w:b w:val="0"/>
          <w:i w:val="0"/>
          <w:color w:val="1A73E8"/>
          <w:sz w:val="18"/>
        </w:rPr>
        <w:t>https://www.thoughtworks.com/content/dam/thoughtworks/documents/radar/2025/11/tr_technology_radar_vol_33_en.pdf</w:t>
      </w:r>
    </w:p>
    <w:p>
      <w:pPr>
        <w:spacing w:before="40" w:after="160" w:line="276" w:lineRule="auto"/>
        <w:ind w:left="720"/>
      </w:pPr>
      <w:r>
        <w:rPr>
          <w:rFonts w:ascii="Calibri" w:hAnsi="Calibri"/>
          <w:rFonts w:ascii="Calibri" w:hAnsi="Calibri" w:cs="Calibri"/>
          <w:b w:val="0"/>
          <w:i/>
          <w:color w:val="666666"/>
          <w:sz w:val="22"/>
        </w:rPr>
        <w:t>Thoughtworks explicitly distinguishes context engineering from prompt wording and describes a reverse-engineering to design to forward-engineering loop directly useful for spec-first work.</w:t>
      </w:r>
    </w:p>
    <w:p>
      <w:pPr>
        <w:spacing w:before="280" w:after="80"/>
      </w:pPr>
      <w:r>
        <w:rPr>
          <w:rFonts w:ascii="Calibri" w:hAnsi="Calibri"/>
          <w:rFonts w:ascii="Calibri" w:hAnsi="Calibri" w:cs="Calibri"/>
          <w:b/>
          <w:i w:val="0"/>
          <w:color w:val="1A73E8"/>
          <w:sz w:val="26"/>
        </w:rPr>
        <w:t>2. Anthropic, "Scaling agentic coding across your organization"</w:t>
      </w:r>
    </w:p>
    <w:p>
      <w:pPr>
        <w:spacing w:before="0" w:after="80"/>
      </w:pPr>
      <w:r>
        <w:rPr>
          <w:rFonts w:ascii="Calibri" w:hAnsi="Calibri"/>
          <w:rFonts w:ascii="Calibri" w:hAnsi="Calibri" w:cs="Calibri"/>
          <w:b w:val="0"/>
          <w:i w:val="0"/>
          <w:color w:val="1A73E8"/>
          <w:sz w:val="18"/>
        </w:rPr>
        <w:t>https://resources.anthropic.com/hubfs/Scaling%20agentic%20coding%20across%20your%20organization.pdf?hsLang=en</w:t>
      </w:r>
    </w:p>
    <w:p>
      <w:pPr>
        <w:spacing w:before="40" w:after="160" w:line="276" w:lineRule="auto"/>
        <w:ind w:left="720"/>
      </w:pPr>
      <w:r>
        <w:rPr>
          <w:rFonts w:ascii="Calibri" w:hAnsi="Calibri"/>
          <w:rFonts w:ascii="Calibri" w:hAnsi="Calibri" w:cs="Calibri"/>
          <w:b w:val="0"/>
          <w:i/>
          <w:color w:val="666666"/>
          <w:sz w:val="22"/>
        </w:rPr>
        <w:t>Includes concrete examples of weak versus well-structured Claude Code requests and reinforces why structured inputs improve downstream reliability.</w:t>
      </w:r>
    </w:p>
    <w:p>
      <w:pPr>
        <w:spacing w:before="280" w:after="80"/>
      </w:pPr>
      <w:r>
        <w:rPr>
          <w:rFonts w:ascii="Calibri" w:hAnsi="Calibri"/>
          <w:rFonts w:ascii="Calibri" w:hAnsi="Calibri" w:cs="Calibri"/>
          <w:b/>
          <w:i w:val="0"/>
          <w:color w:val="1A73E8"/>
          <w:sz w:val="26"/>
        </w:rPr>
        <w:t>3. Anthropic, Claude Code overview</w:t>
      </w:r>
    </w:p>
    <w:p>
      <w:pPr>
        <w:spacing w:before="0" w:after="80"/>
      </w:pPr>
      <w:r>
        <w:rPr>
          <w:rFonts w:ascii="Calibri" w:hAnsi="Calibri"/>
          <w:rFonts w:ascii="Calibri" w:hAnsi="Calibri" w:cs="Calibri"/>
          <w:b w:val="0"/>
          <w:i w:val="0"/>
          <w:color w:val="1A73E8"/>
          <w:sz w:val="18"/>
        </w:rPr>
        <w:t>https://code.claude.com/docs/en/overview</w:t>
      </w:r>
    </w:p>
    <w:p>
      <w:pPr>
        <w:spacing w:before="40" w:after="160" w:line="276" w:lineRule="auto"/>
        <w:ind w:left="720"/>
      </w:pPr>
      <w:r>
        <w:rPr>
          <w:rFonts w:ascii="Calibri" w:hAnsi="Calibri"/>
          <w:rFonts w:ascii="Calibri" w:hAnsi="Calibri" w:cs="Calibri"/>
          <w:b w:val="0"/>
          <w:i/>
          <w:color w:val="666666"/>
          <w:sz w:val="22"/>
        </w:rPr>
        <w:t>Frames Claude Code as a tool that plans, edits, verifies, and works through the terminal rather than a chat toy. Useful for tying SDD to the actual harness students are using.</w:t>
      </w:r>
    </w:p>
    <w:p>
      <w:pPr>
        <w:spacing w:before="360" w:after="160"/>
      </w:pPr>
      <w:r>
        <w:rPr>
          <w:rFonts w:ascii="Calibri" w:hAnsi="Calibri"/>
          <w:rFonts w:ascii="Calibri" w:hAnsi="Calibri" w:cs="Calibri"/>
          <w:b/>
          <w:i w:val="0"/>
          <w:color w:val="0B2A4A"/>
          <w:sz w:val="32"/>
        </w:rPr>
        <w:t>Strongly Recommended</w:t>
      </w:r>
    </w:p>
    <w:p>
      <w:pPr>
        <w:spacing w:before="280" w:after="80"/>
      </w:pPr>
      <w:r>
        <w:rPr>
          <w:rFonts w:ascii="Calibri" w:hAnsi="Calibri"/>
          <w:rFonts w:ascii="Calibri" w:hAnsi="Calibri" w:cs="Calibri"/>
          <w:b/>
          <w:i w:val="0"/>
          <w:color w:val="1A73E8"/>
          <w:sz w:val="26"/>
        </w:rPr>
        <w:t>4. Addy Osmani, "Vibe coding is not the same as AI-Assisted engineering"</w:t>
      </w:r>
    </w:p>
    <w:p>
      <w:pPr>
        <w:spacing w:before="0" w:after="80"/>
      </w:pPr>
      <w:r>
        <w:rPr>
          <w:rFonts w:ascii="Calibri" w:hAnsi="Calibri"/>
          <w:rFonts w:ascii="Calibri" w:hAnsi="Calibri" w:cs="Calibri"/>
          <w:b w:val="0"/>
          <w:i w:val="0"/>
          <w:color w:val="1A73E8"/>
          <w:sz w:val="18"/>
        </w:rPr>
        <w:t>https://medium.com/@addyosmani/vibe-coding-is-not-the-same-as-ai-assisted-engineering-3f81088d5b98</w:t>
      </w:r>
    </w:p>
    <w:p>
      <w:pPr>
        <w:spacing w:before="40" w:after="160" w:line="276" w:lineRule="auto"/>
        <w:ind w:left="720"/>
      </w:pPr>
      <w:r>
        <w:rPr>
          <w:rFonts w:ascii="Calibri" w:hAnsi="Calibri"/>
          <w:rFonts w:ascii="Calibri" w:hAnsi="Calibri" w:cs="Calibri"/>
          <w:b w:val="0"/>
          <w:i/>
          <w:color w:val="666666"/>
          <w:sz w:val="22"/>
        </w:rPr>
        <w:t>Sharp language for the mindset shift away from prompt-and-pray workflows and toward structured engineering.</w:t>
      </w:r>
    </w:p>
    <w:p>
      <w:pPr>
        <w:spacing w:before="280" w:after="80"/>
      </w:pPr>
      <w:r>
        <w:rPr>
          <w:rFonts w:ascii="Calibri" w:hAnsi="Calibri"/>
          <w:rFonts w:ascii="Calibri" w:hAnsi="Calibri" w:cs="Calibri"/>
          <w:b/>
          <w:i w:val="0"/>
          <w:color w:val="1A73E8"/>
          <w:sz w:val="26"/>
        </w:rPr>
        <w:t>5. Addy Osmani, "Comprehension Debt — the hidden cost of AI generated code"</w:t>
      </w:r>
    </w:p>
    <w:p>
      <w:pPr>
        <w:spacing w:before="0" w:after="80"/>
      </w:pPr>
      <w:r>
        <w:rPr>
          <w:rFonts w:ascii="Calibri" w:hAnsi="Calibri"/>
          <w:rFonts w:ascii="Calibri" w:hAnsi="Calibri" w:cs="Calibri"/>
          <w:b w:val="0"/>
          <w:i w:val="0"/>
          <w:color w:val="1A73E8"/>
          <w:sz w:val="18"/>
        </w:rPr>
        <w:t>https://medium.com/@addyosmani/comprehension-debt-the-hidden-cost-of-ai-generated-code-285a25dac57e</w:t>
      </w:r>
    </w:p>
    <w:p>
      <w:pPr>
        <w:spacing w:before="40" w:after="160" w:line="276" w:lineRule="auto"/>
        <w:ind w:left="720"/>
      </w:pPr>
      <w:r>
        <w:rPr>
          <w:rFonts w:ascii="Calibri" w:hAnsi="Calibri"/>
          <w:rFonts w:ascii="Calibri" w:hAnsi="Calibri" w:cs="Calibri"/>
          <w:b w:val="0"/>
          <w:i/>
          <w:color w:val="666666"/>
          <w:sz w:val="22"/>
        </w:rPr>
        <w:t>Useful for explaining why specs, review discipline, and small diffs matter even when the AI output looks fluent.</w:t>
      </w:r>
    </w:p>
    <w:p>
      <w:pPr>
        <w:spacing w:before="160" w:after="160"/>
      </w:pPr>
      <w:r>
        <w:rPr>
          <w:rFonts w:ascii="Calibri" w:hAnsi="Calibri"/>
          <w:rFonts w:ascii="Calibri" w:hAnsi="Calibri" w:cs="Calibri"/>
          <w:b w:val="0"/>
          <w:i w:val="0"/>
          <w:color w:val="E86C00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60"/>
      </w:pPr>
      <w:r>
        <w:rPr>
          <w:rFonts w:ascii="Calibri" w:hAnsi="Calibri"/>
          <w:rFonts w:ascii="Calibri" w:hAnsi="Calibri" w:cs="Calibri"/>
          <w:b/>
          <w:i w:val="0"/>
          <w:color w:val="0B2A4A"/>
          <w:sz w:val="32"/>
        </w:rPr>
        <w:t>Follow-Through Checklist</w:t>
      </w:r>
    </w:p>
    <w:p>
      <w:pPr>
        <w:spacing w:before="40" w:after="80" w:line="276" w:lineRule="auto"/>
      </w:pPr>
      <w:r>
        <w:rPr>
          <w:rFonts w:ascii="Calibri" w:hAnsi="Calibri"/>
          <w:rFonts w:ascii="Calibri" w:hAnsi="Calibri" w:cs="Calibri"/>
          <w:b w:val="0"/>
          <w:i w:val="0"/>
          <w:color w:val="333333"/>
          <w:sz w:val="22"/>
        </w:rPr>
        <w:t>Take one real ticket from your backlog and read it against this checklist:</w:t>
      </w:r>
    </w:p>
    <w:p>
      <w:pPr>
        <w:spacing w:before="80" w:after="0"/>
      </w:pPr>
    </w:p>
    <w:p>
      <w:pPr>
        <w:spacing w:before="40" w:after="40" w:line="276" w:lineRule="auto"/>
        <w:ind w:left="720"/>
      </w:pPr>
      <w:r>
        <w:rPr>
          <w:rFonts w:ascii="Calibri" w:hAnsi="Calibri"/>
          <w:rFonts w:ascii="Calibri" w:hAnsi="Calibri" w:cs="Calibri"/>
          <w:b w:val="0"/>
          <w:i w:val="0"/>
          <w:color w:val="333333"/>
          <w:sz w:val="22"/>
        </w:rPr>
        <w:t xml:space="preserve">☐  </w:t>
      </w:r>
      <w:r>
        <w:rPr>
          <w:rFonts w:ascii="Calibri" w:hAnsi="Calibri"/>
          <w:rFonts w:ascii="Calibri" w:hAnsi="Calibri" w:cs="Calibri"/>
          <w:b w:val="0"/>
          <w:i w:val="0"/>
          <w:color w:val="333333"/>
          <w:sz w:val="22"/>
        </w:rPr>
        <w:t>Does it specify success in observable terms?</w:t>
      </w:r>
    </w:p>
    <w:p>
      <w:pPr>
        <w:spacing w:before="40" w:after="40" w:line="276" w:lineRule="auto"/>
        <w:ind w:left="720"/>
      </w:pPr>
      <w:r>
        <w:rPr>
          <w:rFonts w:ascii="Calibri" w:hAnsi="Calibri"/>
          <w:rFonts w:ascii="Calibri" w:hAnsi="Calibri" w:cs="Calibri"/>
          <w:b w:val="0"/>
          <w:i w:val="0"/>
          <w:color w:val="333333"/>
          <w:sz w:val="22"/>
        </w:rPr>
        <w:t xml:space="preserve">☐  </w:t>
      </w:r>
      <w:r>
        <w:rPr>
          <w:rFonts w:ascii="Calibri" w:hAnsi="Calibri"/>
          <w:rFonts w:ascii="Calibri" w:hAnsi="Calibri" w:cs="Calibri"/>
          <w:b w:val="0"/>
          <w:i w:val="0"/>
          <w:color w:val="333333"/>
          <w:sz w:val="22"/>
        </w:rPr>
        <w:t>Does it capture constraints the agent must not violate?</w:t>
      </w:r>
    </w:p>
    <w:p>
      <w:pPr>
        <w:spacing w:before="40" w:after="40" w:line="276" w:lineRule="auto"/>
        <w:ind w:left="720"/>
      </w:pPr>
      <w:r>
        <w:rPr>
          <w:rFonts w:ascii="Calibri" w:hAnsi="Calibri"/>
          <w:rFonts w:ascii="Calibri" w:hAnsi="Calibri" w:cs="Calibri"/>
          <w:b w:val="0"/>
          <w:i w:val="0"/>
          <w:color w:val="333333"/>
          <w:sz w:val="22"/>
        </w:rPr>
        <w:t xml:space="preserve">☐  </w:t>
      </w:r>
      <w:r>
        <w:rPr>
          <w:rFonts w:ascii="Calibri" w:hAnsi="Calibri"/>
          <w:rFonts w:ascii="Calibri" w:hAnsi="Calibri" w:cs="Calibri"/>
          <w:b w:val="0"/>
          <w:i w:val="0"/>
          <w:color w:val="333333"/>
          <w:sz w:val="22"/>
        </w:rPr>
        <w:t>Does it define what is out of scope?</w:t>
      </w:r>
    </w:p>
    <w:p>
      <w:pPr>
        <w:spacing w:before="40" w:after="40" w:line="276" w:lineRule="auto"/>
        <w:ind w:left="720"/>
      </w:pPr>
      <w:r>
        <w:rPr>
          <w:rFonts w:ascii="Calibri" w:hAnsi="Calibri"/>
          <w:rFonts w:ascii="Calibri" w:hAnsi="Calibri" w:cs="Calibri"/>
          <w:b w:val="0"/>
          <w:i w:val="0"/>
          <w:color w:val="333333"/>
          <w:sz w:val="22"/>
        </w:rPr>
        <w:t xml:space="preserve">☐  </w:t>
      </w:r>
      <w:r>
        <w:rPr>
          <w:rFonts w:ascii="Calibri" w:hAnsi="Calibri"/>
          <w:rFonts w:ascii="Calibri" w:hAnsi="Calibri" w:cs="Calibri"/>
          <w:b w:val="0"/>
          <w:i w:val="0"/>
          <w:color w:val="333333"/>
          <w:sz w:val="22"/>
        </w:rPr>
        <w:t>Could a reviewer tell whether the work passed without asking the original author?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4536"/>
      <w:gridCol w:w="4536"/>
    </w:tblGrid>
    <w:tr>
      <w:tc>
        <w:tcPr>
          <w:tcW w:type="dxa" w:w="6480"/>
          <w:tcBorders>
            <w:top w:val="single" w:sz="4" w:space="0" w:color="F2F2F2"/>
          </w:tcBorders>
        </w:tcPr>
        <w:p>
          <w:pPr>
            <w:jc w:val="left"/>
          </w:pPr>
          <w:r>
            <w:rPr>
              <w:rFonts w:ascii="Calibri" w:hAnsi="Calibri"/>
              <w:rFonts w:ascii="Calibri" w:hAnsi="Calibri" w:cs="Calibri"/>
              <w:b w:val="0"/>
              <w:i w:val="0"/>
              <w:color w:val="666666"/>
              <w:sz w:val="16"/>
            </w:rPr>
            <w:t>Integral Dragon  |  Confidential</w:t>
          </w:r>
        </w:p>
      </w:tc>
      <w:tc>
        <w:tcPr>
          <w:tcW w:type="dxa" w:w="2592"/>
          <w:tcBorders>
            <w:top w:val="single" w:sz="4" w:space="0" w:color="F2F2F2"/>
          </w:tcBorders>
        </w:tcPr>
        <w:p>
          <w:pPr>
            <w:jc w:val="right"/>
          </w:pPr>
          <w:r>
            <w:rPr>
              <w:rFonts w:ascii="Calibri" w:hAnsi="Calibri"/>
              <w:rFonts w:ascii="Calibri" w:hAnsi="Calibri" w:cs="Calibri"/>
              <w:b w:val="0"/>
              <w:i w:val="0"/>
              <w:color w:val="666666"/>
              <w:sz w:val="16"/>
            </w:rPr>
            <w:fldChar w:fldCharType="begin"/>
          </w:r>
          <w:r>
            <w:rPr>
              <w:rFonts w:ascii="Calibri" w:hAnsi="Calibri"/>
              <w:rFonts w:ascii="Calibri" w:hAnsi="Calibri" w:cs="Calibri"/>
              <w:b w:val="0"/>
              <w:i w:val="0"/>
              <w:color w:val="666666"/>
              <w:sz w:val="16"/>
            </w:rPr>
            <w:instrText xml:space="preserve"> PAGE </w:instrText>
          </w:r>
          <w:r>
            <w:rPr>
              <w:rFonts w:ascii="Calibri" w:hAnsi="Calibri"/>
              <w:rFonts w:ascii="Calibri" w:hAnsi="Calibri" w:cs="Calibri"/>
              <w:b w:val="0"/>
              <w:i w:val="0"/>
              <w:color w:val="666666"/>
              <w:sz w:val="16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4536"/>
      <w:gridCol w:w="4536"/>
    </w:tblGrid>
    <w:tr>
      <w:tc>
        <w:tcPr>
          <w:tcW w:type="dxa" w:w="4536"/>
          <w:tcBorders>
            <w:bottom w:val="single" w:sz="8" w:space="0" w:color="0B2A4A"/>
          </w:tcBorders>
        </w:tcPr>
        <w:p>
          <w:pPr>
            <w:jc w:val="left"/>
          </w:pPr>
          <w:r>
            <w:rPr>
              <w:rFonts w:ascii="Calibri" w:hAnsi="Calibri"/>
              <w:rFonts w:ascii="Calibri" w:hAnsi="Calibri" w:cs="Calibri"/>
              <w:b/>
              <w:i w:val="0"/>
              <w:color w:val="0B2A4A"/>
              <w:sz w:val="20"/>
            </w:rPr>
            <w:t>INTEGRAL DRAGON</w:t>
          </w:r>
        </w:p>
      </w:tc>
      <w:tc>
        <w:tcPr>
          <w:tcW w:type="dxa" w:w="4536"/>
          <w:tcBorders>
            <w:bottom w:val="single" w:sz="8" w:space="0" w:color="0B2A4A"/>
          </w:tcBorders>
        </w:tcPr>
        <w:p>
          <w:pPr>
            <w:jc w:val="right"/>
          </w:pPr>
          <w:r>
            <w:rPr>
              <w:rFonts w:ascii="Calibri" w:hAnsi="Calibri"/>
              <w:rFonts w:ascii="Calibri" w:hAnsi="Calibri" w:cs="Calibri"/>
              <w:b w:val="0"/>
              <w:i/>
              <w:color w:val="666666"/>
              <w:sz w:val="18"/>
            </w:rPr>
            <w:t>Session 05: Spec-Driven Development — Reading List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