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0"/>
      </w:pPr>
    </w:p>
    <w:p>
      <w:pPr>
        <w:spacing w:after="80"/>
        <w:jc w:val="left"/>
      </w:pPr>
      <w:r>
        <w:rPr>
          <w:rFonts w:ascii="Calibri" w:hAnsi="Calibri"/>
          <w:color w:val="E86C00"/>
          <w:sz w:val="12"/>
        </w:rPr>
        <w:t>____________________________________________________________</w:t>
      </w:r>
    </w:p>
    <w:p>
      <w:pPr>
        <w:spacing w:after="160"/>
        <w:jc w:val="left"/>
      </w:pPr>
      <w:r>
        <w:rPr>
          <w:rFonts w:ascii="Calibri" w:hAnsi="Calibri"/>
          <w:b/>
          <w:color w:val="0B2A4A"/>
          <w:sz w:val="28"/>
        </w:rPr>
        <w:t>INTEGRAL DRAGON</w:t>
      </w:r>
    </w:p>
    <w:p>
      <w:pPr>
        <w:spacing w:after="80"/>
        <w:jc w:val="left"/>
      </w:pPr>
      <w:r>
        <w:rPr>
          <w:rFonts w:ascii="Calibri" w:hAnsi="Calibri"/>
          <w:b/>
          <w:color w:val="0B2A4A"/>
          <w:sz w:val="56"/>
        </w:rPr>
        <w:t>Session 06: Plan Mode vs. Act Mode</w:t>
      </w:r>
    </w:p>
    <w:p>
      <w:pPr>
        <w:spacing w:after="160"/>
        <w:jc w:val="left"/>
      </w:pPr>
      <w:r>
        <w:rPr>
          <w:rFonts w:ascii="Calibri" w:hAnsi="Calibri"/>
          <w:color w:val="1A73E8"/>
          <w:sz w:val="28"/>
        </w:rPr>
        <w:t>Facilitator Brief</w:t>
      </w:r>
    </w:p>
    <w:p>
      <w:pPr>
        <w:spacing w:after="240"/>
        <w:jc w:val="left"/>
      </w:pPr>
      <w:r>
        <w:rPr>
          <w:rFonts w:ascii="Calibri" w:hAnsi="Calibri"/>
          <w:color w:val="E86C00"/>
          <w:sz w:val="12"/>
        </w:rPr>
        <w:t>____________________________________________________________</w:t>
      </w:r>
    </w:p>
    <w:p>
      <w:pPr>
        <w:spacing w:after="0"/>
        <w:jc w:val="left"/>
      </w:pPr>
      <w:r>
        <w:rPr>
          <w:rFonts w:ascii="Calibri" w:hAnsi="Calibri"/>
          <w:i/>
          <w:color w:val="666666"/>
          <w:sz w:val="20"/>
        </w:rPr>
        <w:t>Prepared by Integral Dragon</w:t>
      </w:r>
    </w:p>
    <w:p>
      <w:r>
        <w:br w:type="page"/>
      </w:r>
    </w:p>
    <w:p>
      <w:pPr>
        <w:pStyle w:val="Heading2"/>
      </w:pPr>
      <w:r>
        <w:t>Purpose</w:t>
      </w:r>
    </w:p>
    <w:p>
      <w:pPr>
        <w:spacing w:before="60" w:after="120" w:line="276" w:lineRule="auto"/>
      </w:pPr>
      <w:r>
        <w:rPr>
          <w:rFonts w:ascii="Calibri" w:hAnsi="Calibri"/>
          <w:color w:val="333333"/>
          <w:sz w:val="22"/>
        </w:rPr>
        <w:t>Teach students to separate read-only analysis from write-enabled execution so the agent must first produce a reviewable plan, surface open questions, and expose risk before any changes are applied.</w:t>
      </w:r>
    </w:p>
    <w:p>
      <w:pPr>
        <w:pStyle w:val="Heading2"/>
      </w:pPr>
      <w:r>
        <w:t>Why This Session Matters</w:t>
      </w:r>
    </w:p>
    <w:p>
      <w:pPr>
        <w:spacing w:before="60" w:after="120" w:line="276" w:lineRule="auto"/>
      </w:pPr>
      <w:r>
        <w:rPr>
          <w:rFonts w:ascii="Calibri" w:hAnsi="Calibri"/>
          <w:color w:val="333333"/>
          <w:sz w:val="22"/>
        </w:rPr>
        <w:t>The survey says this cohort wants smaller diffs, better review quality, and safer use of AI in regulated environments. Plan Mode is the operational control that makes those outcomes realistic. It slows the first move down so the rest of the workflow speeds up safely.</w:t>
      </w:r>
    </w:p>
    <w:p>
      <w:pPr>
        <w:pStyle w:val="Heading2"/>
      </w:pPr>
      <w:r>
        <w:t>Learning Outcomes</w:t>
      </w:r>
    </w:p>
    <w:p>
      <w:pPr>
        <w:pStyle w:val="ListBullet"/>
        <w:spacing w:before="40" w:after="40" w:line="276" w:lineRule="auto"/>
      </w:pPr>
      <w:r>
        <w:rPr>
          <w:rFonts w:ascii="Calibri" w:hAnsi="Calibri"/>
          <w:color w:val="333333"/>
          <w:sz w:val="22"/>
        </w:rPr>
        <w:t>Explain what Plan Mode is for and when to use it</w:t>
      </w:r>
    </w:p>
    <w:p>
      <w:pPr>
        <w:pStyle w:val="ListBullet"/>
        <w:spacing w:before="40" w:after="40" w:line="276" w:lineRule="auto"/>
      </w:pPr>
      <w:r>
        <w:rPr>
          <w:rFonts w:ascii="Calibri" w:hAnsi="Calibri"/>
          <w:color w:val="333333"/>
          <w:sz w:val="22"/>
        </w:rPr>
        <w:t>Start Claude Code in Plan Mode and use it for repo analysis</w:t>
      </w:r>
    </w:p>
    <w:p>
      <w:pPr>
        <w:pStyle w:val="ListBullet"/>
        <w:spacing w:before="40" w:after="40" w:line="276" w:lineRule="auto"/>
      </w:pPr>
      <w:r>
        <w:rPr>
          <w:rFonts w:ascii="Calibri" w:hAnsi="Calibri"/>
          <w:color w:val="333333"/>
          <w:sz w:val="22"/>
        </w:rPr>
        <w:t>Critique a proposed plan before approving execution</w:t>
      </w:r>
    </w:p>
    <w:p>
      <w:pPr>
        <w:pStyle w:val="ListBullet"/>
        <w:spacing w:before="40" w:after="40" w:line="276" w:lineRule="auto"/>
      </w:pPr>
      <w:r>
        <w:rPr>
          <w:rFonts w:ascii="Calibri" w:hAnsi="Calibri"/>
          <w:color w:val="333333"/>
          <w:sz w:val="22"/>
        </w:rPr>
        <w:t>Distinguish planning, approval, and execution as separate control points</w:t>
      </w:r>
    </w:p>
    <w:p>
      <w:pPr>
        <w:pStyle w:val="ListBullet"/>
        <w:spacing w:before="40" w:after="40" w:line="276" w:lineRule="auto"/>
      </w:pPr>
      <w:r>
        <w:rPr>
          <w:rFonts w:ascii="Calibri" w:hAnsi="Calibri"/>
          <w:color w:val="333333"/>
          <w:sz w:val="22"/>
        </w:rPr>
        <w:t>Connect permission modes to enterprise review discipline</w:t>
      </w:r>
    </w:p>
    <w:p>
      <w:pPr>
        <w:pStyle w:val="Heading2"/>
      </w:pPr>
      <w:r>
        <w:t>Core Ideas to Emphasize</w:t>
      </w:r>
    </w:p>
    <w:p>
      <w:pPr>
        <w:pStyle w:val="ListNumber"/>
        <w:spacing w:before="40" w:after="40" w:line="276" w:lineRule="auto"/>
      </w:pPr>
      <w:r>
        <w:rPr>
          <w:rFonts w:ascii="Calibri" w:hAnsi="Calibri"/>
          <w:color w:val="333333"/>
          <w:sz w:val="22"/>
        </w:rPr>
        <w:t>Read-only analysis is a safety feature — Plan Mode keeps the agent in analysis mode without modifying files</w:t>
      </w:r>
    </w:p>
    <w:p>
      <w:pPr>
        <w:pStyle w:val="ListNumber"/>
        <w:spacing w:before="40" w:after="40" w:line="276" w:lineRule="auto"/>
      </w:pPr>
      <w:r>
        <w:rPr>
          <w:rFonts w:ascii="Calibri" w:hAnsi="Calibri"/>
          <w:color w:val="333333"/>
          <w:sz w:val="22"/>
        </w:rPr>
        <w:t>The plan is an engineering artifact — it should name files, risks, migration concerns, test implications, and open questions</w:t>
      </w:r>
    </w:p>
    <w:p>
      <w:pPr>
        <w:pStyle w:val="ListNumber"/>
        <w:spacing w:before="40" w:after="40" w:line="276" w:lineRule="auto"/>
      </w:pPr>
      <w:r>
        <w:rPr>
          <w:rFonts w:ascii="Calibri" w:hAnsi="Calibri"/>
          <w:color w:val="333333"/>
          <w:sz w:val="22"/>
        </w:rPr>
        <w:t>Approval is not a rubber stamp — the value is challenging the plan before execution</w:t>
      </w:r>
    </w:p>
    <w:p>
      <w:pPr>
        <w:pStyle w:val="ListNumber"/>
        <w:spacing w:before="40" w:after="40" w:line="276" w:lineRule="auto"/>
      </w:pPr>
      <w:r>
        <w:rPr>
          <w:rFonts w:ascii="Calibri" w:hAnsi="Calibri"/>
          <w:color w:val="333333"/>
          <w:sz w:val="22"/>
        </w:rPr>
        <w:t>Permission modes are broader than a binary — plan, default, acceptEdits, auto, bypassPermissions</w:t>
      </w:r>
    </w:p>
    <w:p>
      <w:pPr>
        <w:pStyle w:val="ListNumber"/>
        <w:spacing w:before="40" w:after="40" w:line="276" w:lineRule="auto"/>
      </w:pPr>
      <w:r>
        <w:rPr>
          <w:rFonts w:ascii="Calibri" w:hAnsi="Calibri"/>
          <w:color w:val="333333"/>
          <w:sz w:val="22"/>
        </w:rPr>
        <w:t>Small approved steps outperform one giant leap — spec, plan, challenge, approve, act in small diffs, test, narrate</w:t>
      </w:r>
    </w:p>
    <w:p>
      <w:pPr>
        <w:pStyle w:val="Heading2"/>
      </w:pPr>
      <w:r>
        <w:t>23-Minute Session Flow</w:t>
      </w:r>
    </w:p>
    <w:p>
      <w:pPr>
        <w:pStyle w:val="Heading3"/>
      </w:pPr>
      <w:r>
        <w:t>00:00–04:00 — Why mode separation matters</w:t>
      </w:r>
    </w:p>
    <w:p>
      <w:pPr>
        <w:spacing w:before="60" w:after="120" w:line="276" w:lineRule="auto"/>
      </w:pPr>
      <w:r>
        <w:rPr>
          <w:rFonts w:ascii="Calibri" w:hAnsi="Calibri"/>
          <w:color w:val="333333"/>
          <w:sz w:val="22"/>
        </w:rPr>
        <w:t>Planning and execution create different kinds of risk. The same agent that helps quickly can widen scope quickly. Separating analysis from action gives the human a real approval gate.</w:t>
      </w:r>
    </w:p>
    <w:p>
      <w:pPr>
        <w:pStyle w:val="Heading3"/>
      </w:pPr>
      <w:r>
        <w:t>04:00–09:00 — What Plan Mode does and does not do</w:t>
      </w:r>
    </w:p>
    <w:p>
      <w:pPr>
        <w:spacing w:before="60" w:after="120" w:line="276" w:lineRule="auto"/>
      </w:pPr>
      <w:r>
        <w:rPr>
          <w:rFonts w:ascii="Calibri" w:hAnsi="Calibri"/>
          <w:color w:val="333333"/>
          <w:sz w:val="22"/>
        </w:rPr>
        <w:t xml:space="preserve">Read-only analysis, clarifying questions, multi-file proposals, safe exploration. Cannot edit files or execute commands. Start with: </w:t>
      </w:r>
      <w:r>
        <w:rPr>
          <w:rFonts w:ascii="Consolas" w:hAnsi="Consolas"/>
          <w:color w:val="1A73E8"/>
          <w:sz w:val="20"/>
        </w:rPr>
        <w:t>claude --permission-mode plan</w:t>
      </w:r>
    </w:p>
    <w:p>
      <w:pPr>
        <w:pStyle w:val="Heading3"/>
      </w:pPr>
      <w:r>
        <w:t>09:00–14:00 — What to review in a plan</w:t>
      </w:r>
    </w:p>
    <w:p>
      <w:pPr>
        <w:spacing w:before="60" w:after="120" w:line="276" w:lineRule="auto"/>
      </w:pPr>
      <w:r>
        <w:rPr>
          <w:rFonts w:ascii="Calibri" w:hAnsi="Calibri"/>
          <w:color w:val="333333"/>
          <w:sz w:val="22"/>
        </w:rPr>
        <w:t>A good plan names: files touched, invariants, migration concerns, test strategy, open questions. Review like an engineer: what did it assume? What failure modes did it ignore? What should not be touched?</w:t>
      </w:r>
    </w:p>
    <w:p>
      <w:pPr>
        <w:pStyle w:val="Heading3"/>
      </w:pPr>
      <w:r>
        <w:t>14:00–18:00 — Live Claude Code planning workflow</w:t>
      </w:r>
    </w:p>
    <w:p>
      <w:pPr>
        <w:spacing w:before="60" w:after="120" w:line="276" w:lineRule="auto"/>
      </w:pPr>
      <w:r>
        <w:rPr>
          <w:rFonts w:ascii="Calibri" w:hAnsi="Calibri"/>
          <w:color w:val="333333"/>
          <w:sz w:val="22"/>
        </w:rPr>
        <w:t>Run Demo 01 and Demo 02 live. See demo sequences below.</w:t>
      </w:r>
    </w:p>
    <w:p>
      <w:pPr>
        <w:pStyle w:val="Heading3"/>
      </w:pPr>
      <w:r>
        <w:t>18:00–21:00 — Permission modes and safe execution</w:t>
      </w:r>
    </w:p>
    <w:p>
      <w:pPr>
        <w:spacing w:before="60" w:after="120" w:line="276" w:lineRule="auto"/>
      </w:pPr>
      <w:r>
        <w:rPr>
          <w:rFonts w:ascii="Calibri" w:hAnsi="Calibri"/>
          <w:color w:val="333333"/>
          <w:sz w:val="22"/>
        </w:rPr>
        <w:t>Walk through the permission modes table. Plan Mode controls when. Permissions control what. Hooks and managed settings add another layer. In enterprise, you want all of them.</w:t>
      </w:r>
    </w:p>
    <w:p>
      <w:pPr>
        <w:pStyle w:val="Heading3"/>
      </w:pPr>
      <w:r>
        <w:t>21:00–23:00 — Debrief and bridge to Session 07</w:t>
      </w:r>
    </w:p>
    <w:p>
      <w:pPr>
        <w:spacing w:before="60" w:after="120" w:line="276" w:lineRule="auto"/>
      </w:pPr>
      <w:r>
        <w:rPr>
          <w:rFonts w:ascii="Calibri" w:hAnsi="Calibri"/>
          <w:color w:val="333333"/>
          <w:sz w:val="22"/>
        </w:rPr>
        <w:t>Key takeaway: do not let the first draft of the agent's thinking become the first write to the repo. Bridge: Session 07 covers how CLAUDE.md keeps constraints alive across sessions.</w:t>
      </w:r>
    </w:p>
    <w:p>
      <w:pPr>
        <w:pStyle w:val="Heading2"/>
      </w:pPr>
      <w:r>
        <w:t>Live Demo Sequences</w:t>
      </w:r>
    </w:p>
    <w:p>
      <w:pPr>
        <w:pStyle w:val="Heading3"/>
      </w:pPr>
      <w:r>
        <w:t>Demo 01: Start in Plan Mode on Purpose</w:t>
      </w:r>
    </w:p>
    <w:p>
      <w:pPr>
        <w:spacing w:before="60" w:after="120" w:line="276" w:lineRule="auto"/>
      </w:pPr>
      <w:r>
        <w:rPr>
          <w:rFonts w:ascii="Calibri" w:hAnsi="Calibri"/>
          <w:b/>
          <w:color w:val="333333"/>
          <w:sz w:val="22"/>
        </w:rPr>
        <w:t>Goal:</w:t>
      </w:r>
      <w:r>
        <w:rPr>
          <w:rFonts w:ascii="Calibri" w:hAnsi="Calibri"/>
          <w:color w:val="333333"/>
          <w:sz w:val="22"/>
        </w:rPr>
        <w:t xml:space="preserve"> Show that planning is not passive — it's active read-only investigation.</w:t>
      </w:r>
    </w:p>
    <w:p>
      <w:pPr>
        <w:pStyle w:val="ListNumber"/>
        <w:spacing w:before="40" w:after="40" w:line="276" w:lineRule="auto"/>
      </w:pPr>
      <w:r>
        <w:rPr>
          <w:rFonts w:ascii="Consolas" w:hAnsi="Consolas"/>
          <w:color w:val="1A73E8"/>
          <w:sz w:val="20"/>
        </w:rPr>
        <w:t>claude --permission-mode plan</w:t>
      </w:r>
    </w:p>
    <w:p>
      <w:pPr>
        <w:pStyle w:val="ListNumber"/>
        <w:spacing w:before="40" w:after="40" w:line="276" w:lineRule="auto"/>
      </w:pPr>
      <w:r>
        <w:rPr>
          <w:rFonts w:ascii="Calibri" w:hAnsi="Calibri"/>
          <w:color w:val="333333"/>
          <w:sz w:val="22"/>
        </w:rPr>
        <w:t>"Analyze the authentication flow, identify likely files, and propose a low-risk change plan."</w:t>
      </w:r>
    </w:p>
    <w:p>
      <w:pPr>
        <w:pStyle w:val="ListNumber"/>
        <w:spacing w:before="40" w:after="40" w:line="276" w:lineRule="auto"/>
      </w:pPr>
      <w:r>
        <w:rPr>
          <w:rFonts w:ascii="Calibri" w:hAnsi="Calibri"/>
          <w:color w:val="333333"/>
          <w:sz w:val="22"/>
        </w:rPr>
        <w:t>Show that the agent does meaningful work without editing</w:t>
      </w:r>
    </w:p>
    <w:p>
      <w:pPr>
        <w:spacing w:before="60" w:after="120" w:line="276" w:lineRule="auto"/>
      </w:pPr>
      <w:r>
        <w:rPr>
          <w:rFonts w:ascii="Calibri" w:hAnsi="Calibri"/>
          <w:b/>
          <w:color w:val="333333"/>
          <w:sz w:val="22"/>
        </w:rPr>
        <w:t>Teaching points:</w:t>
      </w:r>
      <w:r>
        <w:rPr>
          <w:rFonts w:ascii="Calibri" w:hAnsi="Calibri"/>
          <w:color w:val="333333"/>
          <w:sz w:val="22"/>
        </w:rPr>
        <w:t xml:space="preserve"> first artifact is a plan, not a diff; planning is useful for unfamiliar codebases.</w:t>
      </w:r>
    </w:p>
    <w:p>
      <w:pPr>
        <w:pStyle w:val="Heading3"/>
      </w:pPr>
      <w:r>
        <w:t>Demo 02: Challenge the First Plan</w:t>
      </w:r>
    </w:p>
    <w:p>
      <w:pPr>
        <w:spacing w:before="60" w:after="120" w:line="276" w:lineRule="auto"/>
      </w:pPr>
      <w:r>
        <w:rPr>
          <w:rFonts w:ascii="Calibri" w:hAnsi="Calibri"/>
          <w:b/>
          <w:color w:val="333333"/>
          <w:sz w:val="22"/>
        </w:rPr>
        <w:t>Goal:</w:t>
      </w:r>
      <w:r>
        <w:rPr>
          <w:rFonts w:ascii="Calibri" w:hAnsi="Calibri"/>
          <w:color w:val="333333"/>
          <w:sz w:val="22"/>
        </w:rPr>
        <w:t xml:space="preserve"> Show that plan review should change the plan.</w:t>
      </w:r>
    </w:p>
    <w:p>
      <w:pPr>
        <w:pStyle w:val="ListNumber"/>
        <w:spacing w:before="40" w:after="40" w:line="276" w:lineRule="auto"/>
      </w:pPr>
      <w:r>
        <w:rPr>
          <w:rFonts w:ascii="Calibri" w:hAnsi="Calibri"/>
          <w:color w:val="333333"/>
          <w:sz w:val="22"/>
        </w:rPr>
        <w:t>"Assume database schema changes are not allowed. Revise the plan."</w:t>
      </w:r>
    </w:p>
    <w:p>
      <w:pPr>
        <w:pStyle w:val="ListNumber"/>
        <w:spacing w:before="40" w:after="40" w:line="276" w:lineRule="auto"/>
      </w:pPr>
      <w:r>
        <w:rPr>
          <w:rFonts w:ascii="Calibri" w:hAnsi="Calibri"/>
          <w:color w:val="333333"/>
          <w:sz w:val="22"/>
        </w:rPr>
        <w:t>"Keep the first PR under 150 lines changed. Revise."</w:t>
      </w:r>
    </w:p>
    <w:p>
      <w:pPr>
        <w:pStyle w:val="ListNumber"/>
        <w:spacing w:before="40" w:after="40" w:line="276" w:lineRule="auto"/>
      </w:pPr>
      <w:r>
        <w:rPr>
          <w:rFonts w:ascii="Calibri" w:hAnsi="Calibri"/>
          <w:color w:val="333333"/>
          <w:sz w:val="22"/>
        </w:rPr>
        <w:t>"What tests are required before this is safe?"</w:t>
      </w:r>
    </w:p>
    <w:p>
      <w:pPr>
        <w:spacing w:before="60" w:after="120" w:line="276" w:lineRule="auto"/>
      </w:pPr>
      <w:r>
        <w:rPr>
          <w:rFonts w:ascii="Calibri" w:hAnsi="Calibri"/>
          <w:b/>
          <w:color w:val="333333"/>
          <w:sz w:val="22"/>
        </w:rPr>
        <w:t>Teaching points:</w:t>
      </w:r>
      <w:r>
        <w:rPr>
          <w:rFonts w:ascii="Calibri" w:hAnsi="Calibri"/>
          <w:color w:val="333333"/>
          <w:sz w:val="22"/>
        </w:rPr>
        <w:t xml:space="preserve"> approval is not automatic; constraints tighten the plan; review starts before execution.</w:t>
      </w:r>
    </w:p>
    <w:p>
      <w:pPr>
        <w:pStyle w:val="Heading3"/>
      </w:pPr>
      <w:r>
        <w:t>Demo 03: From Approved Plan to Bounded Execution</w:t>
      </w:r>
    </w:p>
    <w:p>
      <w:pPr>
        <w:spacing w:before="60" w:after="120" w:line="276" w:lineRule="auto"/>
      </w:pPr>
      <w:r>
        <w:rPr>
          <w:rFonts w:ascii="Calibri" w:hAnsi="Calibri"/>
          <w:b/>
          <w:color w:val="333333"/>
          <w:sz w:val="22"/>
        </w:rPr>
        <w:t>Goal:</w:t>
      </w:r>
      <w:r>
        <w:rPr>
          <w:rFonts w:ascii="Calibri" w:hAnsi="Calibri"/>
          <w:color w:val="333333"/>
          <w:sz w:val="22"/>
        </w:rPr>
        <w:t xml:space="preserve"> Show handoff from planning to safe action.</w:t>
      </w:r>
    </w:p>
    <w:p>
      <w:pPr>
        <w:pStyle w:val="ListNumber"/>
        <w:spacing w:before="40" w:after="40" w:line="276" w:lineRule="auto"/>
      </w:pPr>
      <w:r>
        <w:rPr>
          <w:rFonts w:ascii="Calibri" w:hAnsi="Calibri"/>
          <w:color w:val="333333"/>
          <w:sz w:val="22"/>
        </w:rPr>
        <w:t>Accept the refined plan</w:t>
      </w:r>
    </w:p>
    <w:p>
      <w:pPr>
        <w:pStyle w:val="ListNumber"/>
        <w:spacing w:before="40" w:after="40" w:line="276" w:lineRule="auto"/>
      </w:pPr>
      <w:r>
        <w:rPr>
          <w:rFonts w:ascii="Calibri" w:hAnsi="Calibri"/>
          <w:color w:val="333333"/>
          <w:sz w:val="22"/>
        </w:rPr>
        <w:t>Instruct Claude to execute only the first bounded slice</w:t>
      </w:r>
    </w:p>
    <w:p>
      <w:pPr>
        <w:pStyle w:val="ListNumber"/>
        <w:spacing w:before="40" w:after="40" w:line="276" w:lineRule="auto"/>
      </w:pPr>
      <w:r>
        <w:rPr>
          <w:rFonts w:ascii="Calibri" w:hAnsi="Calibri"/>
          <w:color w:val="333333"/>
          <w:sz w:val="22"/>
        </w:rPr>
        <w:t>Require narration: files changed, risk introduced, tests run or still needed</w:t>
      </w:r>
    </w:p>
    <w:p>
      <w:pPr>
        <w:spacing w:before="60" w:after="120" w:line="276" w:lineRule="auto"/>
      </w:pPr>
      <w:r>
        <w:rPr>
          <w:rFonts w:ascii="Calibri" w:hAnsi="Calibri"/>
          <w:b/>
          <w:color w:val="333333"/>
          <w:sz w:val="22"/>
        </w:rPr>
        <w:t>Teaching points:</w:t>
      </w:r>
      <w:r>
        <w:rPr>
          <w:rFonts w:ascii="Calibri" w:hAnsi="Calibri"/>
          <w:color w:val="333333"/>
          <w:sz w:val="22"/>
        </w:rPr>
        <w:t xml:space="preserve"> approve the next slice, not the whole future; execution stays small and reviewable; narration closes the loop.</w:t>
      </w:r>
    </w:p>
    <w:p>
      <w:pPr>
        <w:pStyle w:val="Heading2"/>
      </w:pPr>
      <w:r>
        <w:t>Engineering Implications</w:t>
      </w:r>
    </w:p>
    <w:p>
      <w:pPr>
        <w:pStyle w:val="ListBullet"/>
        <w:spacing w:before="40" w:after="40" w:line="276" w:lineRule="auto"/>
      </w:pPr>
      <w:r>
        <w:rPr>
          <w:rFonts w:ascii="Calibri" w:hAnsi="Calibri"/>
          <w:color w:val="333333"/>
          <w:sz w:val="22"/>
        </w:rPr>
        <w:t>Multi-file changes should default to planning first</w:t>
      </w:r>
    </w:p>
    <w:p>
      <w:pPr>
        <w:pStyle w:val="ListBullet"/>
        <w:spacing w:before="40" w:after="40" w:line="276" w:lineRule="auto"/>
      </w:pPr>
      <w:r>
        <w:rPr>
          <w:rFonts w:ascii="Calibri" w:hAnsi="Calibri"/>
          <w:color w:val="333333"/>
          <w:sz w:val="22"/>
        </w:rPr>
        <w:t>The reviewer can begin before code exists</w:t>
      </w:r>
    </w:p>
    <w:p>
      <w:pPr>
        <w:pStyle w:val="ListBullet"/>
        <w:spacing w:before="40" w:after="40" w:line="276" w:lineRule="auto"/>
      </w:pPr>
      <w:r>
        <w:rPr>
          <w:rFonts w:ascii="Calibri" w:hAnsi="Calibri"/>
          <w:color w:val="333333"/>
          <w:sz w:val="22"/>
        </w:rPr>
        <w:t>Permission settings and planning are complementary controls</w:t>
      </w:r>
    </w:p>
    <w:p>
      <w:pPr>
        <w:pStyle w:val="ListBullet"/>
        <w:spacing w:before="40" w:after="40" w:line="276" w:lineRule="auto"/>
      </w:pPr>
      <w:r>
        <w:rPr>
          <w:rFonts w:ascii="Calibri" w:hAnsi="Calibri"/>
          <w:color w:val="333333"/>
          <w:sz w:val="22"/>
        </w:rPr>
        <w:t>Challenge-and-revise is part of the workflow, not a sign of failure</w:t>
      </w:r>
    </w:p>
    <w:p>
      <w:pPr>
        <w:pStyle w:val="ListBullet"/>
        <w:spacing w:before="40" w:after="40" w:line="276" w:lineRule="auto"/>
      </w:pPr>
      <w:r>
        <w:rPr>
          <w:rFonts w:ascii="Calibri" w:hAnsi="Calibri"/>
          <w:color w:val="333333"/>
          <w:sz w:val="22"/>
        </w:rPr>
        <w:t>Execution quality improves when the plan names risk and invariants explicitly</w:t>
      </w:r>
    </w:p>
    <w:p>
      <w:pPr>
        <w:pStyle w:val="Heading2"/>
      </w:pPr>
      <w:r>
        <w:t>Key Takeaway</w:t>
      </w:r>
    </w:p>
    <w:p>
      <w:pPr>
        <w:spacing w:before="60" w:after="120" w:line="276" w:lineRule="auto"/>
      </w:pPr>
      <w:r>
        <w:rPr>
          <w:rFonts w:ascii="Calibri" w:hAnsi="Calibri"/>
          <w:color w:val="333333"/>
          <w:sz w:val="22"/>
        </w:rPr>
        <w:t>Do not let the first draft of the agent's thinking become the first write to the repo. Make the agent show its work, challenge it, then approve execution deliberately.</w:t>
      </w:r>
    </w:p>
    <w:sectPr w:rsidR="00FC693F" w:rsidRPr="0006063C" w:rsidSect="00034616">
      <w:headerReference w:type="default" r:id="rId9"/>
      <w:footerReference w:type="default" r:id="rId10"/>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autofit"/>
      <w:tblLook w:firstColumn="1" w:firstRow="1" w:lastColumn="0" w:lastRow="0" w:noHBand="0" w:noVBand="1" w:val="04A0"/>
      <w:tblBorders>
        <w:top w:val="single" w:sz="4" w:space="0" w:color="CCCCCC"/>
        <w:left w:val="none" w:sz="0" w:space="0" w:color="auto"/>
        <w:bottom w:val="none" w:sz="0" w:space="0" w:color="auto"/>
        <w:right w:val="none" w:sz="0" w:space="0" w:color="auto"/>
        <w:insideH w:val="none" w:sz="0" w:space="0" w:color="auto"/>
        <w:insideV w:val="none" w:sz="0" w:space="0" w:color="auto"/>
      </w:tblBorders>
    </w:tblPr>
    <w:tblGrid>
      <w:gridCol w:w="4536"/>
      <w:gridCol w:w="4536"/>
    </w:tblGrid>
    <w:tr>
      <w:tc>
        <w:tcPr>
          <w:tcW w:type="dxa" w:w="4536"/>
        </w:tcPr>
        <w:p>
          <w:pPr>
            <w:jc w:val="left"/>
          </w:pPr>
          <w:r>
            <w:rPr>
              <w:rFonts w:ascii="Calibri" w:hAnsi="Calibri"/>
              <w:color w:val="666666"/>
              <w:sz w:val="16"/>
            </w:rPr>
            <w:t>Integral Dragon  |  Confidential</w:t>
          </w:r>
        </w:p>
      </w:tc>
      <w:tc>
        <w:tcPr>
          <w:tcW w:type="dxa" w:w="4536"/>
        </w:tcPr>
        <w:p>
          <w:pPr>
            <w:jc w:val="right"/>
          </w:pPr>
          <w:r>
            <w:rPr>
              <w:rFonts w:ascii="Calibri" w:hAnsi="Calibri"/>
              <w:color w:val="666666"/>
              <w:sz w:val="16"/>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autofit"/>
      <w:tblLook w:firstColumn="1" w:firstRow="1" w:lastColumn="0" w:lastRow="0" w:noHBand="0" w:noVBand="1" w:val="04A0"/>
      <w:tblBorders>
        <w:top w:val="none" w:sz="0" w:space="0" w:color="auto"/>
        <w:left w:val="none" w:sz="0" w:space="0" w:color="auto"/>
        <w:bottom w:val="single" w:sz="8" w:space="0" w:color="0B2A4A"/>
        <w:right w:val="none" w:sz="0" w:space="0" w:color="auto"/>
        <w:insideH w:val="none" w:sz="0" w:space="0" w:color="auto"/>
        <w:insideV w:val="none" w:sz="0" w:space="0" w:color="auto"/>
      </w:tblBorders>
    </w:tblPr>
    <w:tblGrid>
      <w:gridCol w:w="4536"/>
      <w:gridCol w:w="4536"/>
    </w:tblGrid>
    <w:tr>
      <w:tc>
        <w:tcPr>
          <w:tcW w:type="dxa" w:w="4536"/>
        </w:tcPr>
        <w:p>
          <w:pPr>
            <w:jc w:val="left"/>
          </w:pPr>
          <w:r>
            <w:rPr>
              <w:rFonts w:ascii="Calibri" w:hAnsi="Calibri"/>
              <w:b/>
              <w:color w:val="0B2A4A"/>
              <w:sz w:val="20"/>
            </w:rPr>
            <w:t>INTEGRAL DRAGON</w:t>
          </w:r>
        </w:p>
      </w:tc>
      <w:tc>
        <w:tcPr>
          <w:tcW w:type="dxa" w:w="4536"/>
        </w:tcPr>
        <w:p>
          <w:pPr>
            <w:jc w:val="right"/>
          </w:pPr>
          <w:r>
            <w:rPr>
              <w:rFonts w:ascii="Calibri" w:hAnsi="Calibri"/>
              <w:i/>
              <w:color w:val="666666"/>
              <w:sz w:val="18"/>
            </w:rPr>
            <w:t>Session 06: Plan Mode vs. Act Mode — Facilitator Brief</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B2A4A"/>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2A4A"/>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73E8"/>
      <w:sz w:val="26"/>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A73E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