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pPr>
    </w:p>
    <w:p>
      <w:pPr>
        <w:spacing w:before="0" w:after="80"/>
      </w:pPr>
      <w:r>
        <w:rPr>
          <w:rFonts w:ascii="Calibri" w:hAnsi="Calibri"/>
          <w:color w:val="E86C00"/>
          <w:sz w:val="12"/>
        </w:rPr>
        <w:t>───────────────────────────────────────────────────────</w:t>
      </w:r>
    </w:p>
    <w:p>
      <w:pPr>
        <w:spacing w:before="0" w:after="80"/>
      </w:pPr>
      <w:r>
        <w:rPr>
          <w:rFonts w:ascii="Calibri" w:hAnsi="Calibri"/>
          <w:b/>
          <w:color w:val="0B2A4A"/>
          <w:sz w:val="28"/>
        </w:rPr>
        <w:t>INTEGRAL DRAGON</w:t>
      </w:r>
    </w:p>
    <w:p>
      <w:pPr>
        <w:spacing w:before="0" w:after="120"/>
      </w:pPr>
      <w:r>
        <w:rPr>
          <w:rFonts w:ascii="Calibri" w:hAnsi="Calibri"/>
          <w:b/>
          <w:color w:val="0B2A4A"/>
          <w:sz w:val="52"/>
        </w:rPr>
        <w:t>Session 07: Context Control via CLAUDE.md</w:t>
      </w:r>
    </w:p>
    <w:p>
      <w:pPr>
        <w:spacing w:before="0" w:after="120"/>
      </w:pPr>
      <w:r>
        <w:rPr>
          <w:rFonts w:ascii="Calibri" w:hAnsi="Calibri"/>
          <w:color w:val="1A73E8"/>
          <w:sz w:val="26"/>
        </w:rPr>
        <w:t>Facilitator Brief — Speaking Notes, Pacing &amp; Demo Sequence</w:t>
      </w:r>
    </w:p>
    <w:p>
      <w:pPr>
        <w:spacing w:before="0" w:after="80"/>
      </w:pPr>
      <w:r>
        <w:rPr>
          <w:rFonts w:ascii="Calibri" w:hAnsi="Calibri"/>
          <w:color w:val="E86C00"/>
          <w:sz w:val="12"/>
        </w:rPr>
        <w:t>───────────────────────────────────────────────────────</w:t>
      </w:r>
    </w:p>
    <w:p>
      <w:pPr>
        <w:spacing w:before="0" w:after="400"/>
      </w:pPr>
      <w:r>
        <w:rPr>
          <w:rFonts w:ascii="Calibri" w:hAnsi="Calibri"/>
          <w:i/>
          <w:color w:val="666666"/>
          <w:sz w:val="20"/>
        </w:rPr>
        <w:t>Prepared by Integral Dragon</w:t>
      </w:r>
    </w:p>
    <w:p>
      <w:pPr>
        <w:spacing w:before="240" w:after="80"/>
      </w:pPr>
      <w:r>
        <w:rPr>
          <w:rFonts w:ascii="Calibri" w:hAnsi="Calibri"/>
          <w:b/>
          <w:color w:val="0B2A4A"/>
          <w:sz w:val="32"/>
        </w:rPr>
        <w:t>Session 07</w:t>
      </w:r>
    </w:p>
    <w:p>
      <w:pPr>
        <w:spacing w:before="240" w:after="80"/>
      </w:pPr>
      <w:r>
        <w:rPr>
          <w:rFonts w:ascii="Calibri" w:hAnsi="Calibri"/>
          <w:b/>
          <w:color w:val="0B2A4A"/>
          <w:sz w:val="32"/>
        </w:rPr>
        <w:t>Context Control via CLAUDE.md</w:t>
      </w:r>
    </w:p>
    <w:p>
      <w:pPr>
        <w:spacing w:before="200" w:after="60"/>
      </w:pPr>
      <w:r>
        <w:rPr>
          <w:rFonts w:ascii="Calibri" w:hAnsi="Calibri"/>
          <w:b/>
          <w:color w:val="1A73E8"/>
          <w:sz w:val="26"/>
        </w:rPr>
        <w:t>Purpose</w:t>
      </w:r>
    </w:p>
    <w:p>
      <w:pPr>
        <w:spacing w:before="0" w:after="80" w:line="276" w:lineRule="auto"/>
      </w:pPr>
      <w:r>
        <w:rPr>
          <w:rFonts w:ascii="Calibri" w:hAnsi="Calibri"/>
          <w:color w:val="333333"/>
          <w:sz w:val="22"/>
        </w:rPr>
        <w:t xml:space="preserve">Teach students how to encode persistent project rules in </w:t>
      </w:r>
      <w:r>
        <w:rPr>
          <w:rFonts w:ascii="Consolas" w:hAnsi="Consolas"/>
          <w:color w:val="1A73E8"/>
          <w:sz w:val="20"/>
        </w:rPr>
        <w:t>CLAUDE.md</w:t>
      </w:r>
      <w:r>
        <w:rPr>
          <w:rFonts w:ascii="Calibri" w:hAnsi="Calibri"/>
          <w:color w:val="333333"/>
          <w:sz w:val="22"/>
        </w:rPr>
        <w:t xml:space="preserve"> so the agent follows stable architectural, formatting, safety, and workflow expectations without requiring repetitive prompting.</w:t>
      </w:r>
    </w:p>
    <w:p>
      <w:pPr>
        <w:spacing w:before="200" w:after="60"/>
      </w:pPr>
      <w:r>
        <w:rPr>
          <w:rFonts w:ascii="Calibri" w:hAnsi="Calibri"/>
          <w:b/>
          <w:color w:val="1A73E8"/>
          <w:sz w:val="26"/>
        </w:rPr>
        <w:t>Why this session matters</w:t>
      </w:r>
    </w:p>
    <w:p>
      <w:pPr>
        <w:spacing w:before="0" w:after="80" w:line="276" w:lineRule="auto"/>
      </w:pPr>
      <w:r>
        <w:rPr>
          <w:rFonts w:ascii="Calibri" w:hAnsi="Calibri"/>
          <w:color w:val="333333"/>
          <w:sz w:val="22"/>
        </w:rPr>
        <w:t xml:space="preserve">Specs and plans help on a single task. Enterprise teams still need a durable way to carry standards across every task. </w:t>
      </w:r>
      <w:r>
        <w:rPr>
          <w:rFonts w:ascii="Consolas" w:hAnsi="Consolas"/>
          <w:color w:val="1A73E8"/>
          <w:sz w:val="20"/>
        </w:rPr>
        <w:t>CLAUDE.md</w:t>
      </w:r>
      <w:r>
        <w:rPr>
          <w:rFonts w:ascii="Calibri" w:hAnsi="Calibri"/>
          <w:color w:val="333333"/>
          <w:sz w:val="22"/>
        </w:rPr>
        <w:t xml:space="preserve"> is where recurring constraints become part of the working environment instead of tribal knowledge.</w:t>
      </w:r>
    </w:p>
    <w:p>
      <w:pPr>
        <w:spacing w:before="200" w:after="60"/>
      </w:pPr>
      <w:r>
        <w:rPr>
          <w:rFonts w:ascii="Calibri" w:hAnsi="Calibri"/>
          <w:b/>
          <w:color w:val="1A73E8"/>
          <w:sz w:val="26"/>
        </w:rPr>
        <w:t>Learning outcomes</w:t>
      </w:r>
    </w:p>
    <w:p>
      <w:pPr>
        <w:spacing w:before="0" w:after="80" w:line="276" w:lineRule="auto"/>
      </w:pPr>
      <w:r>
        <w:rPr>
          <w:rFonts w:ascii="Calibri" w:hAnsi="Calibri"/>
          <w:color w:val="333333"/>
          <w:sz w:val="22"/>
        </w:rPr>
        <w:t>By the end of this session, students should be able to:</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 xml:space="preserve">explain what kinds of instructions belong in </w:t>
      </w:r>
      <w:r>
        <w:rPr>
          <w:rFonts w:ascii="Consolas" w:hAnsi="Consolas"/>
          <w:color w:val="1A73E8"/>
          <w:sz w:val="20"/>
        </w:rPr>
        <w:t>CLAUDE.md</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distinguish user, project, local, and managed configuration scopes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write compact project rules that are stable, testable, and worth versioning</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 xml:space="preserve">avoid overloading </w:t>
      </w:r>
      <w:r>
        <w:rPr>
          <w:rFonts w:ascii="Consolas" w:hAnsi="Consolas"/>
          <w:color w:val="1A73E8"/>
          <w:sz w:val="20"/>
        </w:rPr>
        <w:t>CLAUDE.md</w:t>
      </w:r>
      <w:r>
        <w:rPr>
          <w:rFonts w:ascii="Calibri" w:hAnsi="Calibri"/>
          <w:color w:val="333333"/>
          <w:sz w:val="22"/>
        </w:rPr>
        <w:t xml:space="preserve"> with task-specific noise</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use persistent rules to reduce variance across teammates and sessions</w:t>
      </w:r>
    </w:p>
    <w:p>
      <w:pPr>
        <w:spacing w:before="200" w:after="60"/>
      </w:pPr>
      <w:r>
        <w:rPr>
          <w:rFonts w:ascii="Calibri" w:hAnsi="Calibri"/>
          <w:b/>
          <w:color w:val="1A73E8"/>
          <w:sz w:val="26"/>
        </w:rPr>
        <w:t>Core ideas</w:t>
      </w:r>
    </w:p>
    <w:p>
      <w:pPr>
        <w:spacing w:before="160" w:after="40"/>
      </w:pPr>
      <w:r>
        <w:rPr>
          <w:rFonts w:ascii="Calibri" w:hAnsi="Calibri"/>
          <w:b/>
          <w:color w:val="1A73E8"/>
          <w:sz w:val="22"/>
        </w:rPr>
        <w:t>1. Persistent rules beat repeated prompts</w:t>
      </w:r>
    </w:p>
    <w:p>
      <w:pPr>
        <w:spacing w:before="0" w:after="80" w:line="276" w:lineRule="auto"/>
      </w:pPr>
      <w:r>
        <w:rPr>
          <w:rFonts w:ascii="Calibri" w:hAnsi="Calibri"/>
          <w:color w:val="333333"/>
          <w:sz w:val="22"/>
        </w:rPr>
        <w:t>If the same instruction is repeated every session, it probably belongs in the harness. Stable constraints should live in a durable file, not in a human memory loop.</w:t>
      </w:r>
    </w:p>
    <w:p>
      <w:pPr>
        <w:spacing w:before="160" w:after="40"/>
      </w:pPr>
      <w:r>
        <w:rPr>
          <w:rFonts w:ascii="Calibri" w:hAnsi="Calibri"/>
          <w:b/>
          <w:color w:val="1A73E8"/>
          <w:sz w:val="22"/>
        </w:rPr>
        <w:t>2. `CLAUDE.md` is for policy and conventions, not everything</w:t>
      </w:r>
    </w:p>
    <w:p>
      <w:pPr>
        <w:spacing w:before="0" w:after="80" w:line="276" w:lineRule="auto"/>
      </w:pPr>
      <w:r>
        <w:rPr>
          <w:rFonts w:ascii="Calibri" w:hAnsi="Calibri"/>
          <w:color w:val="333333"/>
          <w:sz w:val="22"/>
        </w:rPr>
        <w:t xml:space="preserve">Good </w:t>
      </w:r>
      <w:r>
        <w:rPr>
          <w:rFonts w:ascii="Consolas" w:hAnsi="Consolas"/>
          <w:color w:val="1A73E8"/>
          <w:sz w:val="20"/>
        </w:rPr>
        <w:t>CLAUDE.md</w:t>
      </w:r>
      <w:r>
        <w:rPr>
          <w:rFonts w:ascii="Calibri" w:hAnsi="Calibri"/>
          <w:color w:val="333333"/>
          <w:sz w:val="22"/>
        </w:rPr>
        <w:t xml:space="preserve"> content includes coding conventions, review expectations, path rules, architecture boundaries, testing expectations, and other durable instructions. Temporary task goals still belong in the task itself.</w:t>
      </w:r>
    </w:p>
    <w:p>
      <w:pPr>
        <w:spacing w:before="160" w:after="40"/>
      </w:pPr>
      <w:r>
        <w:rPr>
          <w:rFonts w:ascii="Calibri" w:hAnsi="Calibri"/>
          <w:b/>
          <w:color w:val="1A73E8"/>
          <w:sz w:val="22"/>
        </w:rPr>
        <w:t>3. Scope is part of the control model</w:t>
      </w:r>
    </w:p>
    <w:p>
      <w:pPr>
        <w:spacing w:before="0" w:after="80" w:line="276" w:lineRule="auto"/>
      </w:pPr>
      <w:r>
        <w:rPr>
          <w:rFonts w:ascii="Calibri" w:hAnsi="Calibri"/>
          <w:color w:val="333333"/>
          <w:sz w:val="22"/>
        </w:rPr>
        <w:t>Some rules belong to the user globally. Some belong to the project. Some are local experiments. Some must be managed centrally and never overridden. Students need to understand which layer solves which problem.</w:t>
      </w:r>
    </w:p>
    <w:p>
      <w:pPr>
        <w:spacing w:before="160" w:after="40"/>
      </w:pPr>
      <w:r>
        <w:rPr>
          <w:rFonts w:ascii="Calibri" w:hAnsi="Calibri"/>
          <w:b/>
          <w:color w:val="1A73E8"/>
          <w:sz w:val="22"/>
        </w:rPr>
        <w:t>4. Brevity matters</w:t>
      </w:r>
    </w:p>
    <w:p>
      <w:pPr>
        <w:spacing w:before="0" w:after="80" w:line="276" w:lineRule="auto"/>
      </w:pPr>
      <w:r>
        <w:rPr>
          <w:rFonts w:ascii="Calibri" w:hAnsi="Calibri"/>
          <w:color w:val="333333"/>
          <w:sz w:val="22"/>
        </w:rPr>
        <w:t xml:space="preserve">A bloated </w:t>
      </w:r>
      <w:r>
        <w:rPr>
          <w:rFonts w:ascii="Consolas" w:hAnsi="Consolas"/>
          <w:color w:val="1A73E8"/>
          <w:sz w:val="20"/>
        </w:rPr>
        <w:t>CLAUDE.md</w:t>
      </w:r>
      <w:r>
        <w:rPr>
          <w:rFonts w:ascii="Calibri" w:hAnsi="Calibri"/>
          <w:color w:val="333333"/>
          <w:sz w:val="22"/>
        </w:rPr>
        <w:t xml:space="preserve"> becomes background fog. High-value rules are concise, enforceable, and worth carrying forward across many tasks.</w:t>
      </w:r>
    </w:p>
    <w:p>
      <w:pPr>
        <w:spacing w:before="160" w:after="40"/>
      </w:pPr>
      <w:r>
        <w:rPr>
          <w:rFonts w:ascii="Calibri" w:hAnsi="Calibri"/>
          <w:b/>
          <w:color w:val="1A73E8"/>
          <w:sz w:val="22"/>
        </w:rPr>
        <w:t>5. Persistent context reduces drift</w:t>
      </w:r>
    </w:p>
    <w:p>
      <w:pPr>
        <w:spacing w:before="0" w:after="80" w:line="276" w:lineRule="auto"/>
      </w:pPr>
      <w:r>
        <w:rPr>
          <w:rFonts w:ascii="Calibri" w:hAnsi="Calibri"/>
          <w:color w:val="333333"/>
          <w:sz w:val="22"/>
        </w:rPr>
        <w:t>When project rules are versioned and shared, outputs become more consistent across engineers, sessions, and agents. That lowers review friction and makes AI-assisted work feel less random.</w:t>
      </w:r>
    </w:p>
    <w:p>
      <w:pPr>
        <w:spacing w:before="200" w:after="60"/>
      </w:pPr>
      <w:r>
        <w:rPr>
          <w:rFonts w:ascii="Calibri" w:hAnsi="Calibri"/>
          <w:b/>
          <w:color w:val="1A73E8"/>
          <w:sz w:val="26"/>
        </w:rPr>
        <w:t>Engineering implications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recurring instructions should move from chat history into versioned project rules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review expectations can be encoded before work begins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project-level rules improve cross-team consistency</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local overrides should not silently replace shared standards</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CLAUDE.md</w:t>
      </w:r>
      <w:r>
        <w:rPr>
          <w:rFonts w:ascii="Calibri" w:hAnsi="Calibri"/>
          <w:color w:val="333333"/>
          <w:sz w:val="22"/>
        </w:rPr>
        <w:t xml:space="preserve"> works best when paired with specs, plans, hooks, and permissions</w:t>
      </w:r>
    </w:p>
    <w:p>
      <w:pPr>
        <w:spacing w:before="200" w:after="60"/>
      </w:pPr>
      <w:r>
        <w:rPr>
          <w:rFonts w:ascii="Calibri" w:hAnsi="Calibri"/>
          <w:b/>
          <w:color w:val="1A73E8"/>
          <w:sz w:val="26"/>
        </w:rPr>
        <w:t>23-minute flow</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00:00-04:00</w:t>
      </w:r>
      <w:r>
        <w:rPr>
          <w:rFonts w:ascii="Calibri" w:hAnsi="Calibri"/>
          <w:color w:val="333333"/>
          <w:sz w:val="22"/>
        </w:rPr>
        <w:t>: Why persistent context matters</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04:00-09:00</w:t>
      </w:r>
      <w:r>
        <w:rPr>
          <w:rFonts w:ascii="Calibri" w:hAnsi="Calibri"/>
          <w:color w:val="333333"/>
          <w:sz w:val="22"/>
        </w:rPr>
        <w:t xml:space="preserve">: What belongs in </w:t>
      </w:r>
      <w:r>
        <w:rPr>
          <w:rFonts w:ascii="Consolas" w:hAnsi="Consolas"/>
          <w:color w:val="1A73E8"/>
          <w:sz w:val="20"/>
        </w:rPr>
        <w:t>CLAUDE.md</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09:00-14:00</w:t>
      </w:r>
      <w:r>
        <w:rPr>
          <w:rFonts w:ascii="Calibri" w:hAnsi="Calibri"/>
          <w:color w:val="333333"/>
          <w:sz w:val="22"/>
        </w:rPr>
        <w:t>: Scope hierarchy and override behavior</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14:00-18:00</w:t>
      </w:r>
      <w:r>
        <w:rPr>
          <w:rFonts w:ascii="Calibri" w:hAnsi="Calibri"/>
          <w:color w:val="333333"/>
          <w:sz w:val="22"/>
        </w:rPr>
        <w:t>: Live rule-authoring and behavior shift demo</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18:00-21:00</w:t>
      </w:r>
      <w:r>
        <w:rPr>
          <w:rFonts w:ascii="Calibri" w:hAnsi="Calibri"/>
          <w:color w:val="333333"/>
          <w:sz w:val="22"/>
        </w:rPr>
        <w:t>: Common failure modes</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21:00-23:00</w:t>
      </w:r>
      <w:r>
        <w:rPr>
          <w:rFonts w:ascii="Calibri" w:hAnsi="Calibri"/>
          <w:color w:val="333333"/>
          <w:sz w:val="22"/>
        </w:rPr>
        <w:t>: Debrief and bridge to Session 08</w:t>
      </w:r>
    </w:p>
    <w:p>
      <w:pPr>
        <w:spacing w:before="200" w:after="60"/>
      </w:pPr>
      <w:r>
        <w:rPr>
          <w:rFonts w:ascii="Calibri" w:hAnsi="Calibri"/>
          <w:b/>
          <w:color w:val="1A73E8"/>
          <w:sz w:val="26"/>
        </w:rPr>
        <w:t>Key takeaway</w:t>
      </w:r>
    </w:p>
    <w:p>
      <w:pPr>
        <w:spacing w:before="0" w:after="80" w:line="276" w:lineRule="auto"/>
      </w:pPr>
      <w:r>
        <w:rPr>
          <w:rFonts w:ascii="Calibri" w:hAnsi="Calibri"/>
          <w:color w:val="333333"/>
          <w:sz w:val="22"/>
        </w:rPr>
        <w:t xml:space="preserve">If a rule is stable enough to matter on every task, it should live in the environment. </w:t>
      </w:r>
      <w:r>
        <w:rPr>
          <w:rFonts w:ascii="Consolas" w:hAnsi="Consolas"/>
          <w:color w:val="1A73E8"/>
          <w:sz w:val="20"/>
        </w:rPr>
        <w:t>CLAUDE.md</w:t>
      </w:r>
      <w:r>
        <w:rPr>
          <w:rFonts w:ascii="Calibri" w:hAnsi="Calibri"/>
          <w:color w:val="333333"/>
          <w:sz w:val="22"/>
        </w:rPr>
        <w:t xml:space="preserve"> turns repeated verbal reminders into durable project controls.</w:t>
      </w:r>
    </w:p>
    <w:p>
      <w:pPr>
        <w:spacing w:before="120" w:after="120"/>
      </w:pPr>
      <w:r>
        <w:rPr>
          <w:rFonts w:ascii="Calibri" w:hAnsi="Calibri"/>
          <w:color w:val="E86C00"/>
          <w:sz w:val="12"/>
        </w:rPr>
        <w:t>───────────────────────────────────────────────────────</w:t>
      </w:r>
    </w:p>
    <w:p>
      <w:pPr>
        <w:spacing w:before="240" w:after="80"/>
      </w:pPr>
      <w:r>
        <w:rPr>
          <w:rFonts w:ascii="Calibri" w:hAnsi="Calibri"/>
          <w:b/>
          <w:color w:val="0B2A4A"/>
          <w:sz w:val="32"/>
        </w:rPr>
        <w:t>Demo Blueprints</w:t>
      </w:r>
    </w:p>
    <w:p>
      <w:pPr>
        <w:spacing w:before="240" w:after="80"/>
      </w:pPr>
      <w:r>
        <w:rPr>
          <w:rFonts w:ascii="Calibri" w:hAnsi="Calibri"/>
          <w:b/>
          <w:color w:val="0B2A4A"/>
          <w:sz w:val="32"/>
        </w:rPr>
        <w:t>Session 07</w:t>
      </w:r>
    </w:p>
    <w:p>
      <w:pPr>
        <w:spacing w:before="240" w:after="80"/>
      </w:pPr>
      <w:r>
        <w:rPr>
          <w:rFonts w:ascii="Calibri" w:hAnsi="Calibri"/>
          <w:b/>
          <w:color w:val="0B2A4A"/>
          <w:sz w:val="32"/>
        </w:rPr>
        <w:t>Context Control via CLAUDE.md</w:t>
      </w:r>
    </w:p>
    <w:p>
      <w:pPr>
        <w:spacing w:before="200" w:after="60"/>
      </w:pPr>
      <w:r>
        <w:rPr>
          <w:rFonts w:ascii="Calibri" w:hAnsi="Calibri"/>
          <w:b/>
          <w:color w:val="1A73E8"/>
          <w:sz w:val="26"/>
        </w:rPr>
        <w:t>Demo 01</w:t>
      </w:r>
    </w:p>
    <w:p>
      <w:pPr>
        <w:spacing w:before="240" w:after="80"/>
      </w:pPr>
      <w:r>
        <w:rPr>
          <w:rFonts w:ascii="Calibri" w:hAnsi="Calibri"/>
          <w:b/>
          <w:color w:val="0B2A4A"/>
          <w:sz w:val="32"/>
        </w:rPr>
        <w:t>Repeated prompt vs persistent rule</w:t>
      </w:r>
    </w:p>
    <w:p>
      <w:pPr>
        <w:spacing w:before="200" w:after="60"/>
      </w:pPr>
      <w:r>
        <w:rPr>
          <w:rFonts w:ascii="Calibri" w:hAnsi="Calibri"/>
          <w:b/>
          <w:color w:val="1A73E8"/>
          <w:sz w:val="26"/>
        </w:rPr>
        <w:t>Goal</w:t>
      </w:r>
    </w:p>
    <w:p>
      <w:pPr>
        <w:spacing w:before="0" w:after="80" w:line="276" w:lineRule="auto"/>
      </w:pPr>
      <w:r>
        <w:rPr>
          <w:rFonts w:ascii="Calibri" w:hAnsi="Calibri"/>
          <w:color w:val="333333"/>
          <w:sz w:val="22"/>
        </w:rPr>
        <w:t>Show that recurring instructions are better encoded once in the project than retyped for every task.</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color w:val="333333"/>
          <w:sz w:val="22"/>
        </w:rPr>
        <w:t>Start in a repo with no project rule for output narration.</w:t>
      </w:r>
    </w:p>
    <w:p>
      <w:pPr>
        <w:ind w:left="340" w:hanging="283"/>
        <w:spacing w:before="0" w:after="40" w:line="276" w:lineRule="auto"/>
      </w:pPr>
      <w:r>
        <w:rPr>
          <w:rFonts w:ascii="Calibri" w:hAnsi="Calibri"/>
          <w:b/>
          <w:color w:val="1A73E8"/>
          <w:sz w:val="22"/>
        </w:rPr>
        <w:t xml:space="preserve">2.  </w:t>
      </w:r>
      <w:r>
        <w:rPr>
          <w:rFonts w:ascii="Calibri" w:hAnsi="Calibri"/>
          <w:color w:val="333333"/>
          <w:sz w:val="22"/>
        </w:rPr>
        <w:t>Ask Claude to make a small change and summarize what it did.</w:t>
      </w:r>
    </w:p>
    <w:p>
      <w:pPr>
        <w:ind w:left="340" w:hanging="283"/>
        <w:spacing w:before="0" w:after="40" w:line="276" w:lineRule="auto"/>
      </w:pPr>
      <w:r>
        <w:rPr>
          <w:rFonts w:ascii="Calibri" w:hAnsi="Calibri"/>
          <w:b/>
          <w:color w:val="1A73E8"/>
          <w:sz w:val="22"/>
        </w:rPr>
        <w:t xml:space="preserve">3.  </w:t>
      </w:r>
      <w:r>
        <w:rPr>
          <w:rFonts w:ascii="Calibri" w:hAnsi="Calibri"/>
          <w:color w:val="333333"/>
          <w:sz w:val="22"/>
        </w:rPr>
        <w:t xml:space="preserve">Add a </w:t>
      </w:r>
      <w:r>
        <w:rPr>
          <w:rFonts w:ascii="Consolas" w:hAnsi="Consolas"/>
          <w:color w:val="1A73E8"/>
          <w:sz w:val="20"/>
        </w:rPr>
        <w:t>CLAUDE.md</w:t>
      </w:r>
      <w:r>
        <w:rPr>
          <w:rFonts w:ascii="Calibri" w:hAnsi="Calibri"/>
          <w:color w:val="333333"/>
          <w:sz w:val="22"/>
        </w:rPr>
        <w:t xml:space="preserve"> rule that requires file-level narration and explicit test reporting.</w:t>
      </w:r>
    </w:p>
    <w:p>
      <w:pPr>
        <w:ind w:left="340" w:hanging="283"/>
        <w:spacing w:before="0" w:after="40" w:line="276" w:lineRule="auto"/>
      </w:pPr>
      <w:r>
        <w:rPr>
          <w:rFonts w:ascii="Calibri" w:hAnsi="Calibri"/>
          <w:b/>
          <w:color w:val="1A73E8"/>
          <w:sz w:val="22"/>
        </w:rPr>
        <w:t xml:space="preserve">4.  </w:t>
      </w:r>
      <w:r>
        <w:rPr>
          <w:rFonts w:ascii="Calibri" w:hAnsi="Calibri"/>
          <w:color w:val="333333"/>
          <w:sz w:val="22"/>
        </w:rPr>
        <w:t>Repeat a similar task and compare the response shape.</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repeated prompting is a weak control mechanism</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project rules make behavior more stable</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durable rules reduce operator effort</w:t>
      </w:r>
    </w:p>
    <w:p>
      <w:pPr>
        <w:spacing w:before="200" w:after="60"/>
      </w:pPr>
      <w:r>
        <w:rPr>
          <w:rFonts w:ascii="Calibri" w:hAnsi="Calibri"/>
          <w:b/>
          <w:color w:val="1A73E8"/>
          <w:sz w:val="26"/>
        </w:rPr>
        <w:t>Demo 02</w:t>
      </w:r>
    </w:p>
    <w:p>
      <w:pPr>
        <w:spacing w:before="240" w:after="80"/>
      </w:pPr>
      <w:r>
        <w:rPr>
          <w:rFonts w:ascii="Calibri" w:hAnsi="Calibri"/>
          <w:b/>
          <w:color w:val="0B2A4A"/>
          <w:sz w:val="32"/>
        </w:rPr>
        <w:t>Scope separation</w:t>
      </w:r>
    </w:p>
    <w:p>
      <w:pPr>
        <w:spacing w:before="200" w:after="60"/>
      </w:pPr>
      <w:r>
        <w:rPr>
          <w:rFonts w:ascii="Calibri" w:hAnsi="Calibri"/>
          <w:b/>
          <w:color w:val="1A73E8"/>
          <w:sz w:val="26"/>
        </w:rPr>
        <w:t>Goal</w:t>
      </w:r>
    </w:p>
    <w:p>
      <w:pPr>
        <w:spacing w:before="0" w:after="80" w:line="276" w:lineRule="auto"/>
      </w:pPr>
      <w:r>
        <w:rPr>
          <w:rFonts w:ascii="Calibri" w:hAnsi="Calibri"/>
          <w:color w:val="333333"/>
          <w:sz w:val="22"/>
        </w:rPr>
        <w:t>Show students that not every instruction belongs in the same layer.</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color w:val="333333"/>
          <w:sz w:val="22"/>
        </w:rPr>
        <w:t>Present four example rules.</w:t>
      </w:r>
    </w:p>
    <w:p>
      <w:pPr>
        <w:ind w:left="340" w:hanging="283"/>
        <w:spacing w:before="0" w:after="40" w:line="276" w:lineRule="auto"/>
      </w:pPr>
      <w:r>
        <w:rPr>
          <w:rFonts w:ascii="Calibri" w:hAnsi="Calibri"/>
          <w:b/>
          <w:color w:val="1A73E8"/>
          <w:sz w:val="22"/>
        </w:rPr>
        <w:t xml:space="preserve">2.  </w:t>
      </w:r>
      <w:r>
        <w:rPr>
          <w:rFonts w:ascii="Calibri" w:hAnsi="Calibri"/>
          <w:color w:val="333333"/>
          <w:sz w:val="22"/>
        </w:rPr>
        <w:t>Ask Claude to classify them as user, project, local, or task-specific.</w:t>
      </w:r>
    </w:p>
    <w:p>
      <w:pPr>
        <w:ind w:left="340" w:hanging="283"/>
        <w:spacing w:before="0" w:after="40" w:line="276" w:lineRule="auto"/>
      </w:pPr>
      <w:r>
        <w:rPr>
          <w:rFonts w:ascii="Calibri" w:hAnsi="Calibri"/>
          <w:b/>
          <w:color w:val="1A73E8"/>
          <w:sz w:val="22"/>
        </w:rPr>
        <w:t xml:space="preserve">3.  </w:t>
      </w:r>
      <w:r>
        <w:rPr>
          <w:rFonts w:ascii="Calibri" w:hAnsi="Calibri"/>
          <w:color w:val="333333"/>
          <w:sz w:val="22"/>
        </w:rPr>
        <w:t>Challenge one classification and explain why a different scope would create risk.</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shared rules should be versioned with the project</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local experiments should stay local</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scope mistakes create hidden inconsistency</w:t>
      </w:r>
    </w:p>
    <w:p>
      <w:pPr>
        <w:spacing w:before="200" w:after="60"/>
      </w:pPr>
      <w:r>
        <w:rPr>
          <w:rFonts w:ascii="Calibri" w:hAnsi="Calibri"/>
          <w:b/>
          <w:color w:val="1A73E8"/>
          <w:sz w:val="26"/>
        </w:rPr>
        <w:t>Demo 03</w:t>
      </w:r>
    </w:p>
    <w:p>
      <w:pPr>
        <w:spacing w:before="240" w:after="80"/>
      </w:pPr>
      <w:r>
        <w:rPr>
          <w:rFonts w:ascii="Calibri" w:hAnsi="Calibri"/>
          <w:b/>
          <w:color w:val="0B2A4A"/>
          <w:sz w:val="32"/>
        </w:rPr>
        <w:t>Tighten a noisy `CLAUDE.md`</w:t>
      </w:r>
    </w:p>
    <w:p>
      <w:pPr>
        <w:spacing w:before="200" w:after="60"/>
      </w:pPr>
      <w:r>
        <w:rPr>
          <w:rFonts w:ascii="Calibri" w:hAnsi="Calibri"/>
          <w:b/>
          <w:color w:val="1A73E8"/>
          <w:sz w:val="26"/>
        </w:rPr>
        <w:t>Goal</w:t>
      </w:r>
    </w:p>
    <w:p>
      <w:pPr>
        <w:spacing w:before="0" w:after="80" w:line="276" w:lineRule="auto"/>
      </w:pPr>
      <w:r>
        <w:rPr>
          <w:rFonts w:ascii="Calibri" w:hAnsi="Calibri"/>
          <w:color w:val="333333"/>
          <w:sz w:val="22"/>
        </w:rPr>
        <w:t>Show how to reduce a bloated rule file into a smaller, higher-signal set of controls.</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color w:val="333333"/>
          <w:sz w:val="22"/>
        </w:rPr>
        <w:t xml:space="preserve">Start with an intentionally overloaded </w:t>
      </w:r>
      <w:r>
        <w:rPr>
          <w:rFonts w:ascii="Consolas" w:hAnsi="Consolas"/>
          <w:color w:val="1A73E8"/>
          <w:sz w:val="20"/>
        </w:rPr>
        <w:t>CLAUDE.md</w:t>
      </w:r>
      <w:r>
        <w:rPr>
          <w:rFonts w:ascii="Calibri" w:hAnsi="Calibri"/>
          <w:color w:val="333333"/>
          <w:sz w:val="22"/>
        </w:rPr>
        <w:t>.</w:t>
      </w:r>
    </w:p>
    <w:p>
      <w:pPr>
        <w:ind w:left="340" w:hanging="283"/>
        <w:spacing w:before="0" w:after="40" w:line="276" w:lineRule="auto"/>
      </w:pPr>
      <w:r>
        <w:rPr>
          <w:rFonts w:ascii="Calibri" w:hAnsi="Calibri"/>
          <w:b/>
          <w:color w:val="1A73E8"/>
          <w:sz w:val="22"/>
        </w:rPr>
        <w:t xml:space="preserve">2.  </w:t>
      </w:r>
      <w:r>
        <w:rPr>
          <w:rFonts w:ascii="Calibri" w:hAnsi="Calibri"/>
          <w:color w:val="333333"/>
          <w:sz w:val="22"/>
        </w:rPr>
        <w:t>Ask Claude:</w:t>
      </w:r>
    </w:p>
    <w:p>
      <w:pPr>
        <w:spacing w:before="0" w:after="80" w:line="276" w:lineRule="auto"/>
      </w:pPr>
      <w:r>
        <w:rPr>
          <w:rFonts w:ascii="Consolas" w:hAnsi="Consolas"/>
          <w:color w:val="1A73E8"/>
          <w:sz w:val="20"/>
        </w:rPr>
        <w:t>Reduce this file to the smallest set of durable, enforceable project rules.</w:t>
      </w:r>
    </w:p>
    <w:p>
      <w:pPr>
        <w:ind w:left="340" w:hanging="283"/>
        <w:spacing w:before="0" w:after="40" w:line="276" w:lineRule="auto"/>
      </w:pPr>
      <w:r>
        <w:rPr>
          <w:rFonts w:ascii="Calibri" w:hAnsi="Calibri"/>
          <w:b/>
          <w:color w:val="1A73E8"/>
          <w:sz w:val="22"/>
        </w:rPr>
        <w:t xml:space="preserve">3.  </w:t>
      </w:r>
      <w:r>
        <w:rPr>
          <w:rFonts w:ascii="Calibri" w:hAnsi="Calibri"/>
          <w:color w:val="333333"/>
          <w:sz w:val="22"/>
        </w:rPr>
        <w:t>Review what was removed and why.</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brevity improves durability</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vague rules create little leverage</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a good rule file should survive repeated use</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jc w:val="left"/>
      <w:tblLook w:firstColumn="1" w:firstRow="1" w:lastColumn="0" w:lastRow="0" w:noHBand="0" w:noVBand="1" w:val="04A0"/>
    </w:tblPr>
    <w:tblGrid>
      <w:gridCol w:w="4680"/>
      <w:gridCol w:w="4680"/>
    </w:tblGrid>
    <w:tr>
      <w:tc>
        <w:tcPr>
          <w:tcW w:type="dxa" w:w="4680"/>
          <w:tcBorders>
            <w:top w:val="single" w:sz="6" w:space="0" w:color="C0C0C0"/>
            <w:bottom w:val="none" w:sz="0" w:space="0" w:color="FFFFFF"/>
            <w:left w:val="none" w:sz="0" w:space="0" w:color="FFFFFF"/>
            <w:right w:val="none" w:sz="0" w:space="0" w:color="FFFFFF"/>
          </w:tcBorders>
        </w:tcPr>
        <w:p>
          <w:r>
            <w:rPr>
              <w:rFonts w:ascii="Calibri" w:hAnsi="Calibri"/>
              <w:color w:val="666666"/>
              <w:sz w:val="16"/>
            </w:rPr>
            <w:t>Integral Dragon  |  Confidential</w:t>
          </w:r>
        </w:p>
      </w:tc>
      <w:tc>
        <w:tcPr>
          <w:tcW w:type="dxa" w:w="4680"/>
          <w:tcBorders>
            <w:top w:val="single" w:sz="6" w:space="0" w:color="C0C0C0"/>
            <w:bottom w:val="none" w:sz="0" w:space="0" w:color="FFFFFF"/>
            <w:left w:val="none" w:sz="0" w:space="0" w:color="FFFFFF"/>
            <w:right w:val="none" w:sz="0" w:space="0" w:color="FFFFFF"/>
          </w:tcBorders>
        </w:tcPr>
        <w:p>
          <w:pPr>
            <w:jc w:val="right"/>
          </w:pPr>
          <w:r>
            <w:rPr>
              <w:color w:val="666666"/>
              <w:sz w:val="16"/>
            </w:rPr>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left"/>
      <w:tblLook w:firstColumn="1" w:firstRow="1" w:lastColumn="0" w:lastRow="0" w:noHBand="0" w:noVBand="1" w:val="04A0"/>
    </w:tblPr>
    <w:tblGrid>
      <w:gridCol w:w="4680"/>
      <w:gridCol w:w="4680"/>
    </w:tblGrid>
    <w:tr>
      <w:tc>
        <w:tcPr>
          <w:tcW w:type="dxa" w:w="4680"/>
          <w:tcBorders>
            <w:bottom w:val="single" w:sz="12" w:space="0" w:color="0B2A4A"/>
            <w:top w:val="none" w:sz="0" w:space="0" w:color="FFFFFF"/>
            <w:left w:val="none" w:sz="0" w:space="0" w:color="FFFFFF"/>
            <w:right w:val="none" w:sz="0" w:space="0" w:color="FFFFFF"/>
          </w:tcBorders>
        </w:tcPr>
        <w:p>
          <w:r>
            <w:rPr>
              <w:rFonts w:ascii="Calibri" w:hAnsi="Calibri"/>
              <w:b/>
              <w:color w:val="0B2A4A"/>
              <w:sz w:val="20"/>
            </w:rPr>
            <w:t>INTEGRAL DRAGON</w:t>
          </w:r>
        </w:p>
      </w:tc>
      <w:tc>
        <w:tcPr>
          <w:tcW w:type="dxa" w:w="4680"/>
          <w:tcBorders>
            <w:bottom w:val="single" w:sz="12" w:space="0" w:color="0B2A4A"/>
            <w:top w:val="none" w:sz="0" w:space="0" w:color="FFFFFF"/>
            <w:left w:val="none" w:sz="0" w:space="0" w:color="FFFFFF"/>
            <w:right w:val="none" w:sz="0" w:space="0" w:color="FFFFFF"/>
          </w:tcBorders>
        </w:tcPr>
        <w:p>
          <w:pPr>
            <w:jc w:val="right"/>
          </w:pPr>
          <w:r>
            <w:rPr>
              <w:rFonts w:ascii="Calibri" w:hAnsi="Calibri"/>
              <w:i/>
              <w:color w:val="666666"/>
              <w:sz w:val="18"/>
            </w:rPr>
            <w:t>Session 07 Facilitator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