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spacing w:before="0" w:after="0"/>
      </w:pPr>
    </w:p>
    <w:p>
      <w:pPr>
        <w:spacing w:before="0" w:after="80"/>
      </w:pPr>
      <w:r>
        <w:rPr>
          <w:rFonts w:ascii="Calibri" w:hAnsi="Calibri"/>
          <w:color w:val="E86C00"/>
          <w:sz w:val="12"/>
        </w:rPr>
        <w:t>───────────────────────────────────────────────────────</w:t>
      </w:r>
    </w:p>
    <w:p>
      <w:pPr>
        <w:spacing w:before="0" w:after="80"/>
      </w:pPr>
      <w:r>
        <w:rPr>
          <w:rFonts w:ascii="Calibri" w:hAnsi="Calibri"/>
          <w:b/>
          <w:color w:val="0B2A4A"/>
          <w:sz w:val="28"/>
        </w:rPr>
        <w:t>INTEGRAL DRAGON</w:t>
      </w:r>
    </w:p>
    <w:p>
      <w:pPr>
        <w:spacing w:before="0" w:after="120"/>
      </w:pPr>
      <w:r>
        <w:rPr>
          <w:rFonts w:ascii="Calibri" w:hAnsi="Calibri"/>
          <w:b/>
          <w:color w:val="0B2A4A"/>
          <w:sz w:val="52"/>
        </w:rPr>
        <w:t>Session 10: Task Decomposition and Subagents</w:t>
      </w:r>
    </w:p>
    <w:p>
      <w:pPr>
        <w:spacing w:before="0" w:after="120"/>
      </w:pPr>
      <w:r>
        <w:rPr>
          <w:rFonts w:ascii="Calibri" w:hAnsi="Calibri"/>
          <w:color w:val="1A73E8"/>
          <w:sz w:val="26"/>
        </w:rPr>
        <w:t>Facilitator Brief — Speaking Notes, Pacing &amp; Demo Sequence</w:t>
      </w:r>
    </w:p>
    <w:p>
      <w:pPr>
        <w:spacing w:before="0" w:after="80"/>
      </w:pPr>
      <w:r>
        <w:rPr>
          <w:rFonts w:ascii="Calibri" w:hAnsi="Calibri"/>
          <w:color w:val="E86C00"/>
          <w:sz w:val="12"/>
        </w:rPr>
        <w:t>───────────────────────────────────────────────────────</w:t>
      </w:r>
    </w:p>
    <w:p>
      <w:pPr>
        <w:spacing w:before="0" w:after="400"/>
      </w:pPr>
      <w:r>
        <w:rPr>
          <w:rFonts w:ascii="Calibri" w:hAnsi="Calibri"/>
          <w:i/>
          <w:color w:val="666666"/>
          <w:sz w:val="20"/>
        </w:rPr>
        <w:t>Prepared by Integral Dragon</w:t>
      </w:r>
    </w:p>
    <w:p>
      <w:pPr>
        <w:spacing w:before="240" w:after="80"/>
      </w:pPr>
      <w:r>
        <w:rPr>
          <w:rFonts w:ascii="Calibri" w:hAnsi="Calibri"/>
          <w:b/>
          <w:color w:val="0B2A4A"/>
          <w:sz w:val="32"/>
        </w:rPr>
        <w:t>Session 10</w:t>
      </w:r>
    </w:p>
    <w:p>
      <w:pPr>
        <w:spacing w:before="240" w:after="80"/>
      </w:pPr>
      <w:r>
        <w:rPr>
          <w:rFonts w:ascii="Calibri" w:hAnsi="Calibri"/>
          <w:b/>
          <w:color w:val="0B2A4A"/>
          <w:sz w:val="32"/>
        </w:rPr>
        <w:t>Task Decomposition and Subagents</w:t>
      </w:r>
    </w:p>
    <w:p>
      <w:pPr>
        <w:spacing w:before="200" w:after="60"/>
      </w:pPr>
      <w:r>
        <w:rPr>
          <w:rFonts w:ascii="Calibri" w:hAnsi="Calibri"/>
          <w:b/>
          <w:color w:val="1A73E8"/>
          <w:sz w:val="26"/>
        </w:rPr>
        <w:t>Purpose</w:t>
      </w:r>
    </w:p>
    <w:p>
      <w:pPr>
        <w:spacing w:before="0" w:after="80" w:line="276" w:lineRule="auto"/>
      </w:pPr>
      <w:r>
        <w:rPr>
          <w:rFonts w:ascii="Calibri" w:hAnsi="Calibri"/>
          <w:b w:val="0"/>
          <w:i w:val="0"/>
          <w:color w:val="333333"/>
          <w:sz w:val="22"/>
        </w:rPr>
        <w:t>Teach students how to break large requests into bounded delegated tasks and use subagents to isolate work, control tool access, and keep the main session context clean.</w:t>
      </w:r>
    </w:p>
    <w:p>
      <w:pPr>
        <w:spacing w:before="200" w:after="60"/>
      </w:pPr>
      <w:r>
        <w:rPr>
          <w:rFonts w:ascii="Calibri" w:hAnsi="Calibri"/>
          <w:b/>
          <w:color w:val="1A73E8"/>
          <w:sz w:val="26"/>
        </w:rPr>
        <w:t>Why this session matters</w:t>
      </w:r>
    </w:p>
    <w:p>
      <w:pPr>
        <w:spacing w:before="0" w:after="80" w:line="276" w:lineRule="auto"/>
      </w:pPr>
      <w:r>
        <w:rPr>
          <w:rFonts w:ascii="Calibri" w:hAnsi="Calibri"/>
          <w:b w:val="0"/>
          <w:i w:val="0"/>
          <w:color w:val="333333"/>
          <w:sz w:val="22"/>
        </w:rPr>
        <w:t>Monolithic prompts fail because they overload context, mix concerns, and hide risk. Subagents help only if the work is decomposed well. The real skill is not delegation syntax. It is task slicing.</w:t>
      </w:r>
    </w:p>
    <w:p>
      <w:pPr>
        <w:spacing w:before="200" w:after="60"/>
      </w:pPr>
      <w:r>
        <w:rPr>
          <w:rFonts w:ascii="Calibri" w:hAnsi="Calibri"/>
          <w:b/>
          <w:color w:val="1A73E8"/>
          <w:sz w:val="26"/>
        </w:rPr>
        <w:t>Learning outcomes</w:t>
      </w:r>
    </w:p>
    <w:p>
      <w:pPr>
        <w:spacing w:before="0" w:after="80" w:line="276" w:lineRule="auto"/>
      </w:pPr>
      <w:r>
        <w:rPr>
          <w:rFonts w:ascii="Calibri" w:hAnsi="Calibri"/>
          <w:b w:val="0"/>
          <w:i w:val="0"/>
          <w:color w:val="333333"/>
          <w:sz w:val="22"/>
        </w:rPr>
        <w:t>By the end of this session, students should be able to:</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explain why large undifferentiated prompts perform poorly</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decompose a complex request into isolated subagent-sized tasks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define clear inputs, outputs, and boundaries for delegated work</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choose when to use the main conversation versus a subagent</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describe how subagent isolation improves context management and reviewability</w:t>
      </w:r>
    </w:p>
    <w:p>
      <w:pPr>
        <w:spacing w:before="200" w:after="60"/>
      </w:pPr>
      <w:r>
        <w:rPr>
          <w:rFonts w:ascii="Calibri" w:hAnsi="Calibri"/>
          <w:b/>
          <w:color w:val="1A73E8"/>
          <w:sz w:val="26"/>
        </w:rPr>
        <w:t>Core ideas</w:t>
      </w:r>
    </w:p>
    <w:p>
      <w:pPr>
        <w:spacing w:before="160" w:after="40"/>
      </w:pPr>
      <w:r>
        <w:rPr>
          <w:rFonts w:ascii="Calibri" w:hAnsi="Calibri"/>
          <w:b/>
          <w:color w:val="1A73E8"/>
          <w:sz w:val="22"/>
        </w:rPr>
        <w:t>1. Decomposition is upstream quality control</w:t>
      </w:r>
    </w:p>
    <w:p>
      <w:pPr>
        <w:spacing w:before="0" w:after="80" w:line="276" w:lineRule="auto"/>
      </w:pPr>
      <w:r>
        <w:rPr>
          <w:rFonts w:ascii="Calibri" w:hAnsi="Calibri"/>
          <w:b w:val="0"/>
          <w:i w:val="0"/>
          <w:color w:val="333333"/>
          <w:sz w:val="22"/>
        </w:rPr>
        <w:t>If the task boundary is unclear, the delegated work will also be unclear. Good subagent behavior starts with good task design.</w:t>
      </w:r>
    </w:p>
    <w:p>
      <w:pPr>
        <w:spacing w:before="160" w:after="40"/>
      </w:pPr>
      <w:r>
        <w:rPr>
          <w:rFonts w:ascii="Calibri" w:hAnsi="Calibri"/>
          <w:b/>
          <w:color w:val="1A73E8"/>
          <w:sz w:val="22"/>
        </w:rPr>
        <w:t>2. Subagents isolate context on purpose</w:t>
      </w:r>
    </w:p>
    <w:p>
      <w:pPr>
        <w:spacing w:before="0" w:after="80" w:line="276" w:lineRule="auto"/>
      </w:pPr>
      <w:r>
        <w:rPr>
          <w:rFonts w:ascii="Calibri" w:hAnsi="Calibri"/>
          <w:b w:val="0"/>
          <w:i w:val="0"/>
          <w:color w:val="333333"/>
          <w:sz w:val="22"/>
        </w:rPr>
        <w:t>Verbose test output, large research results, and narrow specialist analysis do not always belong in the main conversation. Subagents keep that noise local and return a summary.</w:t>
      </w:r>
    </w:p>
    <w:p>
      <w:pPr>
        <w:spacing w:before="160" w:after="40"/>
      </w:pPr>
      <w:r>
        <w:rPr>
          <w:rFonts w:ascii="Calibri" w:hAnsi="Calibri"/>
          <w:b/>
          <w:color w:val="1A73E8"/>
          <w:sz w:val="22"/>
        </w:rPr>
        <w:t>3. Bounded work improves accuracy</w:t>
      </w:r>
    </w:p>
    <w:p>
      <w:pPr>
        <w:spacing w:before="0" w:after="80" w:line="276" w:lineRule="auto"/>
      </w:pPr>
      <w:r>
        <w:rPr>
          <w:rFonts w:ascii="Calibri" w:hAnsi="Calibri"/>
          <w:b w:val="0"/>
          <w:i w:val="0"/>
          <w:color w:val="333333"/>
          <w:sz w:val="22"/>
        </w:rPr>
        <w:t>A narrow delegated task with defined scope, tools, and expected output is easier to execute correctly than one giant prompt that mixes research, implementation, testing, and review.</w:t>
      </w:r>
    </w:p>
    <w:p>
      <w:pPr>
        <w:spacing w:before="160" w:after="40"/>
      </w:pPr>
      <w:r>
        <w:rPr>
          <w:rFonts w:ascii="Calibri" w:hAnsi="Calibri"/>
          <w:b/>
          <w:color w:val="1A73E8"/>
          <w:sz w:val="22"/>
        </w:rPr>
        <w:t>4. Tool restrictions matter</w:t>
      </w:r>
    </w:p>
    <w:p>
      <w:pPr>
        <w:spacing w:before="0" w:after="80" w:line="276" w:lineRule="auto"/>
      </w:pPr>
      <w:r>
        <w:rPr>
          <w:rFonts w:ascii="Calibri" w:hAnsi="Calibri"/>
          <w:b w:val="0"/>
          <w:i w:val="0"/>
          <w:color w:val="333333"/>
          <w:sz w:val="22"/>
        </w:rPr>
        <w:t>Subagents are valuable not only because they split work, but because they can operate with tighter permissions, different tools, and a more focused role.</w:t>
      </w:r>
    </w:p>
    <w:p>
      <w:pPr>
        <w:spacing w:before="160" w:after="40"/>
      </w:pPr>
      <w:r>
        <w:rPr>
          <w:rFonts w:ascii="Calibri" w:hAnsi="Calibri"/>
          <w:b/>
          <w:color w:val="1A73E8"/>
          <w:sz w:val="22"/>
        </w:rPr>
        <w:t>5. Not every task should use a subagent</w:t>
      </w:r>
    </w:p>
    <w:p>
      <w:pPr>
        <w:spacing w:before="0" w:after="80" w:line="276" w:lineRule="auto"/>
      </w:pPr>
      <w:r>
        <w:rPr>
          <w:rFonts w:ascii="Calibri" w:hAnsi="Calibri"/>
          <w:b w:val="0"/>
          <w:i w:val="0"/>
          <w:color w:val="333333"/>
          <w:sz w:val="22"/>
        </w:rPr>
        <w:t>Quick, tightly interactive tasks often belong in the main conversation. Subagents are best for self-contained work that can return a concise result.</w:t>
      </w:r>
    </w:p>
    <w:p>
      <w:pPr>
        <w:spacing w:before="200" w:after="60"/>
      </w:pPr>
      <w:r>
        <w:rPr>
          <w:rFonts w:ascii="Calibri" w:hAnsi="Calibri"/>
          <w:b/>
          <w:color w:val="1A73E8"/>
          <w:sz w:val="26"/>
        </w:rPr>
        <w:t>Engineering implications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decomposition quality should be treated as a first-class engineering skill</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subagents help preserve context budget when output would otherwise be noisy</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task inputs and outputs should be explicit before delegation</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specialized roles and tighter tool scopes reduce risk</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Session 10 prepares the cohort for Session 11, where multiple workers run in parallel</w:t>
      </w:r>
    </w:p>
    <w:p>
      <w:pPr>
        <w:spacing w:before="200" w:after="60"/>
      </w:pPr>
      <w:r>
        <w:rPr>
          <w:rFonts w:ascii="Calibri" w:hAnsi="Calibri"/>
          <w:b/>
          <w:color w:val="1A73E8"/>
          <w:sz w:val="26"/>
        </w:rPr>
        <w:t>23-minute flow</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00:00-04:00</w:t>
      </w:r>
      <w:r>
        <w:rPr>
          <w:rFonts w:ascii="Calibri" w:hAnsi="Calibri"/>
          <w:b w:val="0"/>
          <w:i w:val="0"/>
          <w:color w:val="333333"/>
          <w:sz w:val="22"/>
        </w:rPr>
        <w:t>: Why giant prompts fail</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04:00-09:00</w:t>
      </w:r>
      <w:r>
        <w:rPr>
          <w:rFonts w:ascii="Calibri" w:hAnsi="Calibri"/>
          <w:b w:val="0"/>
          <w:i w:val="0"/>
          <w:color w:val="333333"/>
          <w:sz w:val="22"/>
        </w:rPr>
        <w:t>: What makes a good subagent task</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09:00-14:00</w:t>
      </w:r>
      <w:r>
        <w:rPr>
          <w:rFonts w:ascii="Calibri" w:hAnsi="Calibri"/>
          <w:b w:val="0"/>
          <w:i w:val="0"/>
          <w:color w:val="333333"/>
          <w:sz w:val="22"/>
        </w:rPr>
        <w:t>: Inputs, outputs, scope, and permissions</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14:00-18:00</w:t>
      </w:r>
      <w:r>
        <w:rPr>
          <w:rFonts w:ascii="Calibri" w:hAnsi="Calibri"/>
          <w:b w:val="0"/>
          <w:i w:val="0"/>
          <w:color w:val="333333"/>
          <w:sz w:val="22"/>
        </w:rPr>
        <w:t>: Live subagent delegation demo</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18:00-21:00</w:t>
      </w:r>
      <w:r>
        <w:rPr>
          <w:rFonts w:ascii="Calibri" w:hAnsi="Calibri"/>
          <w:b w:val="0"/>
          <w:i w:val="0"/>
          <w:color w:val="333333"/>
          <w:sz w:val="22"/>
        </w:rPr>
        <w:t>: When not to delegate</w:t>
      </w:r>
    </w:p>
    <w:p>
      <w:pPr>
        <w:ind w:left="340" w:hanging="227"/>
        <w:spacing w:before="0" w:after="40" w:line="276" w:lineRule="auto"/>
      </w:pPr>
      <w:r>
        <w:rPr>
          <w:rFonts w:ascii="Calibri" w:hAnsi="Calibri"/>
          <w:color w:val="1A73E8"/>
          <w:sz w:val="22"/>
        </w:rPr>
        <w:t xml:space="preserve">•  </w:t>
      </w:r>
      <w:r>
        <w:rPr>
          <w:rFonts w:ascii="Consolas" w:hAnsi="Consolas"/>
          <w:b w:val="0"/>
          <w:i w:val="0"/>
          <w:color w:val="1A73E8"/>
          <w:sz w:val="20"/>
        </w:rPr>
        <w:t>21:00-23:00</w:t>
      </w:r>
      <w:r>
        <w:rPr>
          <w:rFonts w:ascii="Calibri" w:hAnsi="Calibri"/>
          <w:b w:val="0"/>
          <w:i w:val="0"/>
          <w:color w:val="333333"/>
          <w:sz w:val="22"/>
        </w:rPr>
        <w:t>: Debrief and bridge to Session 11</w:t>
      </w:r>
    </w:p>
    <w:p>
      <w:pPr>
        <w:spacing w:before="200" w:after="60"/>
      </w:pPr>
      <w:r>
        <w:rPr>
          <w:rFonts w:ascii="Calibri" w:hAnsi="Calibri"/>
          <w:b/>
          <w:color w:val="1A73E8"/>
          <w:sz w:val="26"/>
        </w:rPr>
        <w:t>Key takeaway</w:t>
      </w:r>
    </w:p>
    <w:p>
      <w:pPr>
        <w:spacing w:before="0" w:after="80" w:line="276" w:lineRule="auto"/>
      </w:pPr>
      <w:r>
        <w:rPr>
          <w:rFonts w:ascii="Calibri" w:hAnsi="Calibri"/>
          <w:b w:val="0"/>
          <w:i w:val="0"/>
          <w:color w:val="333333"/>
          <w:sz w:val="22"/>
        </w:rPr>
        <w:t>Subagents are useful because they create isolation. But isolation only helps when the human decomposes the work into bounded units that can be delegated and reviewed cleanly.</w:t>
      </w:r>
    </w:p>
    <w:p>
      <w:pPr>
        <w:spacing w:before="120" w:after="120"/>
      </w:pPr>
      <w:r>
        <w:rPr>
          <w:rFonts w:ascii="Calibri" w:hAnsi="Calibri"/>
          <w:color w:val="E86C00"/>
          <w:sz w:val="12"/>
        </w:rPr>
        <w:t>───────────────────────────────────────────────────────</w:t>
      </w:r>
    </w:p>
    <w:p>
      <w:pPr>
        <w:spacing w:before="240" w:after="80"/>
      </w:pPr>
      <w:r>
        <w:rPr>
          <w:rFonts w:ascii="Calibri" w:hAnsi="Calibri"/>
          <w:b/>
          <w:color w:val="0B2A4A"/>
          <w:sz w:val="32"/>
        </w:rPr>
        <w:t>Demo Blueprints</w:t>
      </w:r>
    </w:p>
    <w:p>
      <w:pPr>
        <w:spacing w:before="240" w:after="80"/>
      </w:pPr>
      <w:r>
        <w:rPr>
          <w:rFonts w:ascii="Calibri" w:hAnsi="Calibri"/>
          <w:b/>
          <w:color w:val="0B2A4A"/>
          <w:sz w:val="32"/>
        </w:rPr>
        <w:t>Session 10</w:t>
      </w:r>
    </w:p>
    <w:p>
      <w:pPr>
        <w:spacing w:before="240" w:after="80"/>
      </w:pPr>
      <w:r>
        <w:rPr>
          <w:rFonts w:ascii="Calibri" w:hAnsi="Calibri"/>
          <w:b/>
          <w:color w:val="0B2A4A"/>
          <w:sz w:val="32"/>
        </w:rPr>
        <w:t>Task Decomposition and Subagents</w:t>
      </w:r>
    </w:p>
    <w:p>
      <w:pPr>
        <w:spacing w:before="200" w:after="60"/>
      </w:pPr>
      <w:r>
        <w:rPr>
          <w:rFonts w:ascii="Calibri" w:hAnsi="Calibri"/>
          <w:b/>
          <w:color w:val="1A73E8"/>
          <w:sz w:val="26"/>
        </w:rPr>
        <w:t>Demo 01</w:t>
      </w:r>
    </w:p>
    <w:p>
      <w:pPr>
        <w:spacing w:before="240" w:after="80"/>
      </w:pPr>
      <w:r>
        <w:rPr>
          <w:rFonts w:ascii="Calibri" w:hAnsi="Calibri"/>
          <w:b/>
          <w:color w:val="0B2A4A"/>
          <w:sz w:val="32"/>
        </w:rPr>
        <w:t>One giant prompt versus three bounded tasks</w:t>
      </w:r>
    </w:p>
    <w:p>
      <w:pPr>
        <w:spacing w:before="200" w:after="60"/>
      </w:pPr>
      <w:r>
        <w:rPr>
          <w:rFonts w:ascii="Calibri" w:hAnsi="Calibri"/>
          <w:b/>
          <w:color w:val="1A73E8"/>
          <w:sz w:val="26"/>
        </w:rPr>
        <w:t>Goal</w:t>
      </w:r>
    </w:p>
    <w:p>
      <w:pPr>
        <w:spacing w:before="0" w:after="80" w:line="276" w:lineRule="auto"/>
      </w:pPr>
      <w:r>
        <w:rPr>
          <w:rFonts w:ascii="Calibri" w:hAnsi="Calibri"/>
          <w:b w:val="0"/>
          <w:i w:val="0"/>
          <w:color w:val="333333"/>
          <w:sz w:val="22"/>
        </w:rPr>
        <w:t>Show that the main problem is not lack of model capability. It is lack of task structure.</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b w:val="0"/>
          <w:i w:val="0"/>
          <w:color w:val="333333"/>
          <w:sz w:val="22"/>
        </w:rPr>
        <w:t>Present a large request as one monolithic prompt.</w:t>
      </w:r>
    </w:p>
    <w:p>
      <w:pPr>
        <w:ind w:left="340" w:hanging="283"/>
        <w:spacing w:before="0" w:after="40" w:line="276" w:lineRule="auto"/>
      </w:pPr>
      <w:r>
        <w:rPr>
          <w:rFonts w:ascii="Calibri" w:hAnsi="Calibri"/>
          <w:b/>
          <w:color w:val="1A73E8"/>
          <w:sz w:val="22"/>
        </w:rPr>
        <w:t xml:space="preserve">2.  </w:t>
      </w:r>
      <w:r>
        <w:rPr>
          <w:rFonts w:ascii="Calibri" w:hAnsi="Calibri"/>
          <w:b w:val="0"/>
          <w:i w:val="0"/>
          <w:color w:val="333333"/>
          <w:sz w:val="22"/>
        </w:rPr>
        <w:t>Ask Claude to critique why the request is poorly decomposed.</w:t>
      </w:r>
    </w:p>
    <w:p>
      <w:pPr>
        <w:ind w:left="340" w:hanging="283"/>
        <w:spacing w:before="0" w:after="40" w:line="276" w:lineRule="auto"/>
      </w:pPr>
      <w:r>
        <w:rPr>
          <w:rFonts w:ascii="Calibri" w:hAnsi="Calibri"/>
          <w:b/>
          <w:color w:val="1A73E8"/>
          <w:sz w:val="22"/>
        </w:rPr>
        <w:t xml:space="preserve">3.  </w:t>
      </w:r>
      <w:r>
        <w:rPr>
          <w:rFonts w:ascii="Calibri" w:hAnsi="Calibri"/>
          <w:b w:val="0"/>
          <w:i w:val="0"/>
          <w:color w:val="333333"/>
          <w:sz w:val="22"/>
        </w:rPr>
        <w:t>Rewrite it into 3 bounded delegated tasks.</w:t>
      </w:r>
    </w:p>
    <w:p>
      <w:pPr>
        <w:ind w:left="340" w:hanging="283"/>
        <w:spacing w:before="0" w:after="40" w:line="276" w:lineRule="auto"/>
      </w:pPr>
      <w:r>
        <w:rPr>
          <w:rFonts w:ascii="Calibri" w:hAnsi="Calibri"/>
          <w:b/>
          <w:color w:val="1A73E8"/>
          <w:sz w:val="22"/>
        </w:rPr>
        <w:t xml:space="preserve">4.  </w:t>
      </w:r>
      <w:r>
        <w:rPr>
          <w:rFonts w:ascii="Calibri" w:hAnsi="Calibri"/>
          <w:b w:val="0"/>
          <w:i w:val="0"/>
          <w:color w:val="333333"/>
          <w:sz w:val="22"/>
        </w:rPr>
        <w:t>Compare the result quality and reviewability.</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decomposition improves determinism</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smaller scopes create clearer outputs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the human must design the work boundary</w:t>
      </w:r>
    </w:p>
    <w:p>
      <w:pPr>
        <w:spacing w:before="200" w:after="60"/>
      </w:pPr>
      <w:r>
        <w:rPr>
          <w:rFonts w:ascii="Calibri" w:hAnsi="Calibri"/>
          <w:b/>
          <w:color w:val="1A73E8"/>
          <w:sz w:val="26"/>
        </w:rPr>
        <w:t>Demo 02</w:t>
      </w:r>
    </w:p>
    <w:p>
      <w:pPr>
        <w:spacing w:before="240" w:after="80"/>
      </w:pPr>
      <w:r>
        <w:rPr>
          <w:rFonts w:ascii="Calibri" w:hAnsi="Calibri"/>
          <w:b/>
          <w:color w:val="0B2A4A"/>
          <w:sz w:val="32"/>
        </w:rPr>
        <w:t>Focused reviewer subagent</w:t>
      </w:r>
    </w:p>
    <w:p>
      <w:pPr>
        <w:spacing w:before="200" w:after="60"/>
      </w:pPr>
      <w:r>
        <w:rPr>
          <w:rFonts w:ascii="Calibri" w:hAnsi="Calibri"/>
          <w:b/>
          <w:color w:val="1A73E8"/>
          <w:sz w:val="26"/>
        </w:rPr>
        <w:t>Goal</w:t>
      </w:r>
    </w:p>
    <w:p>
      <w:pPr>
        <w:spacing w:before="0" w:after="80" w:line="276" w:lineRule="auto"/>
      </w:pPr>
      <w:r>
        <w:rPr>
          <w:rFonts w:ascii="Calibri" w:hAnsi="Calibri"/>
          <w:b w:val="0"/>
          <w:i w:val="0"/>
          <w:color w:val="333333"/>
          <w:sz w:val="22"/>
        </w:rPr>
        <w:t>Show how a subagent can isolate a narrow analysis task and return only what matters.</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b w:val="0"/>
          <w:i w:val="0"/>
          <w:color w:val="333333"/>
          <w:sz w:val="22"/>
        </w:rPr>
        <w:t>Define a read-only code-review subagent or use an existing reviewer subagent.</w:t>
      </w:r>
    </w:p>
    <w:p>
      <w:pPr>
        <w:ind w:left="340" w:hanging="283"/>
        <w:spacing w:before="0" w:after="40" w:line="276" w:lineRule="auto"/>
      </w:pPr>
      <w:r>
        <w:rPr>
          <w:rFonts w:ascii="Calibri" w:hAnsi="Calibri"/>
          <w:b/>
          <w:color w:val="1A73E8"/>
          <w:sz w:val="22"/>
        </w:rPr>
        <w:t xml:space="preserve">2.  </w:t>
      </w:r>
      <w:r>
        <w:rPr>
          <w:rFonts w:ascii="Calibri" w:hAnsi="Calibri"/>
          <w:b w:val="0"/>
          <w:i w:val="0"/>
          <w:color w:val="333333"/>
          <w:sz w:val="22"/>
        </w:rPr>
        <w:t>Ask it to inspect one file or one module only.</w:t>
      </w:r>
    </w:p>
    <w:p>
      <w:pPr>
        <w:ind w:left="340" w:hanging="283"/>
        <w:spacing w:before="0" w:after="40" w:line="276" w:lineRule="auto"/>
      </w:pPr>
      <w:r>
        <w:rPr>
          <w:rFonts w:ascii="Calibri" w:hAnsi="Calibri"/>
          <w:b/>
          <w:color w:val="1A73E8"/>
          <w:sz w:val="22"/>
        </w:rPr>
        <w:t xml:space="preserve">3.  </w:t>
      </w:r>
      <w:r>
        <w:rPr>
          <w:rFonts w:ascii="Calibri" w:hAnsi="Calibri"/>
          <w:b w:val="0"/>
          <w:i w:val="0"/>
          <w:color w:val="333333"/>
          <w:sz w:val="22"/>
        </w:rPr>
        <w:t>Require a concise summary:</w:t>
      </w:r>
    </w:p>
    <w:p>
      <w:pPr>
        <w:ind w:left="624" w:hanging="227"/>
        <w:spacing w:before="0" w:after="40" w:line="276" w:lineRule="auto"/>
      </w:pPr>
      <w:r>
        <w:rPr>
          <w:rFonts w:ascii="Calibri" w:hAnsi="Calibri"/>
          <w:color w:val="1A73E8"/>
          <w:sz w:val="22"/>
        </w:rPr>
        <w:t xml:space="preserve">◦  </w:t>
      </w:r>
      <w:r>
        <w:rPr>
          <w:rFonts w:ascii="Calibri" w:hAnsi="Calibri"/>
          <w:b w:val="0"/>
          <w:i w:val="0"/>
          <w:color w:val="333333"/>
          <w:sz w:val="22"/>
        </w:rPr>
        <w:t>issues found</w:t>
      </w:r>
    </w:p>
    <w:p>
      <w:pPr>
        <w:ind w:left="624" w:hanging="227"/>
        <w:spacing w:before="0" w:after="40" w:line="276" w:lineRule="auto"/>
      </w:pPr>
      <w:r>
        <w:rPr>
          <w:rFonts w:ascii="Calibri" w:hAnsi="Calibri"/>
          <w:color w:val="1A73E8"/>
          <w:sz w:val="22"/>
        </w:rPr>
        <w:t xml:space="preserve">◦  </w:t>
      </w:r>
      <w:r>
        <w:rPr>
          <w:rFonts w:ascii="Calibri" w:hAnsi="Calibri"/>
          <w:b w:val="0"/>
          <w:i w:val="0"/>
          <w:color w:val="333333"/>
          <w:sz w:val="22"/>
        </w:rPr>
        <w:t>risk level</w:t>
      </w:r>
    </w:p>
    <w:p>
      <w:pPr>
        <w:ind w:left="624" w:hanging="227"/>
        <w:spacing w:before="0" w:after="40" w:line="276" w:lineRule="auto"/>
      </w:pPr>
      <w:r>
        <w:rPr>
          <w:rFonts w:ascii="Calibri" w:hAnsi="Calibri"/>
          <w:color w:val="1A73E8"/>
          <w:sz w:val="22"/>
        </w:rPr>
        <w:t xml:space="preserve">◦  </w:t>
      </w:r>
      <w:r>
        <w:rPr>
          <w:rFonts w:ascii="Calibri" w:hAnsi="Calibri"/>
          <w:b w:val="0"/>
          <w:i w:val="0"/>
          <w:color w:val="333333"/>
          <w:sz w:val="22"/>
        </w:rPr>
        <w:t>suggested next action</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role focus matters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output compression preserves main context</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narrow tasks are easier to trust</w:t>
      </w:r>
    </w:p>
    <w:p>
      <w:pPr>
        <w:spacing w:before="200" w:after="60"/>
      </w:pPr>
      <w:r>
        <w:rPr>
          <w:rFonts w:ascii="Calibri" w:hAnsi="Calibri"/>
          <w:b/>
          <w:color w:val="1A73E8"/>
          <w:sz w:val="26"/>
        </w:rPr>
        <w:t>Demo 03</w:t>
      </w:r>
    </w:p>
    <w:p>
      <w:pPr>
        <w:spacing w:before="240" w:after="80"/>
      </w:pPr>
      <w:r>
        <w:rPr>
          <w:rFonts w:ascii="Calibri" w:hAnsi="Calibri"/>
          <w:b/>
          <w:color w:val="0B2A4A"/>
          <w:sz w:val="32"/>
        </w:rPr>
        <w:t>Tool restriction as part of task design</w:t>
      </w:r>
    </w:p>
    <w:p>
      <w:pPr>
        <w:spacing w:before="200" w:after="60"/>
      </w:pPr>
      <w:r>
        <w:rPr>
          <w:rFonts w:ascii="Calibri" w:hAnsi="Calibri"/>
          <w:b/>
          <w:color w:val="1A73E8"/>
          <w:sz w:val="26"/>
        </w:rPr>
        <w:t>Goal</w:t>
      </w:r>
    </w:p>
    <w:p>
      <w:pPr>
        <w:spacing w:before="0" w:after="80" w:line="276" w:lineRule="auto"/>
      </w:pPr>
      <w:r>
        <w:rPr>
          <w:rFonts w:ascii="Calibri" w:hAnsi="Calibri"/>
          <w:b w:val="0"/>
          <w:i w:val="0"/>
          <w:color w:val="333333"/>
          <w:sz w:val="22"/>
        </w:rPr>
        <w:t>Show that decomposition is not only about splitting work. It is also about controlling capability.</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b w:val="0"/>
          <w:i w:val="0"/>
          <w:color w:val="333333"/>
          <w:sz w:val="22"/>
        </w:rPr>
        <w:t>Define two versions of the same subagent:</w:t>
      </w:r>
    </w:p>
    <w:p>
      <w:pPr>
        <w:ind w:left="624" w:hanging="227"/>
        <w:spacing w:before="0" w:after="40" w:line="276" w:lineRule="auto"/>
      </w:pPr>
      <w:r>
        <w:rPr>
          <w:rFonts w:ascii="Calibri" w:hAnsi="Calibri"/>
          <w:color w:val="1A73E8"/>
          <w:sz w:val="22"/>
        </w:rPr>
        <w:t xml:space="preserve">◦  </w:t>
      </w:r>
      <w:r>
        <w:rPr>
          <w:rFonts w:ascii="Calibri" w:hAnsi="Calibri"/>
          <w:b w:val="0"/>
          <w:i w:val="0"/>
          <w:color w:val="333333"/>
          <w:sz w:val="22"/>
        </w:rPr>
        <w:t>read-only reviewer</w:t>
      </w:r>
    </w:p>
    <w:p>
      <w:pPr>
        <w:ind w:left="624" w:hanging="227"/>
        <w:spacing w:before="0" w:after="40" w:line="276" w:lineRule="auto"/>
      </w:pPr>
      <w:r>
        <w:rPr>
          <w:rFonts w:ascii="Calibri" w:hAnsi="Calibri"/>
          <w:color w:val="1A73E8"/>
          <w:sz w:val="22"/>
        </w:rPr>
        <w:t xml:space="preserve">◦  </w:t>
      </w:r>
      <w:r>
        <w:rPr>
          <w:rFonts w:ascii="Calibri" w:hAnsi="Calibri"/>
          <w:b w:val="0"/>
          <w:i w:val="0"/>
          <w:color w:val="333333"/>
          <w:sz w:val="22"/>
        </w:rPr>
        <w:t>full-access implementer</w:t>
      </w:r>
    </w:p>
    <w:p>
      <w:pPr>
        <w:ind w:left="340" w:hanging="283"/>
        <w:spacing w:before="0" w:after="40" w:line="276" w:lineRule="auto"/>
      </w:pPr>
      <w:r>
        <w:rPr>
          <w:rFonts w:ascii="Calibri" w:hAnsi="Calibri"/>
          <w:b/>
          <w:color w:val="1A73E8"/>
          <w:sz w:val="22"/>
        </w:rPr>
        <w:t xml:space="preserve">2.  </w:t>
      </w:r>
      <w:r>
        <w:rPr>
          <w:rFonts w:ascii="Calibri" w:hAnsi="Calibri"/>
          <w:b w:val="0"/>
          <w:i w:val="0"/>
          <w:color w:val="333333"/>
          <w:sz w:val="22"/>
        </w:rPr>
        <w:t>Ask which one should handle each subtask in the workflow.</w:t>
      </w:r>
    </w:p>
    <w:p>
      <w:pPr>
        <w:ind w:left="340" w:hanging="283"/>
        <w:spacing w:before="0" w:after="40" w:line="276" w:lineRule="auto"/>
      </w:pPr>
      <w:r>
        <w:rPr>
          <w:rFonts w:ascii="Calibri" w:hAnsi="Calibri"/>
          <w:b/>
          <w:color w:val="1A73E8"/>
          <w:sz w:val="22"/>
        </w:rPr>
        <w:t xml:space="preserve">3.  </w:t>
      </w:r>
      <w:r>
        <w:rPr>
          <w:rFonts w:ascii="Calibri" w:hAnsi="Calibri"/>
          <w:b w:val="0"/>
          <w:i w:val="0"/>
          <w:color w:val="333333"/>
          <w:sz w:val="22"/>
        </w:rPr>
        <w:t>Discuss why the default should usually be the narrower one first.</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capability should follow task scope</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review and implementation are not the same role</w:t>
      </w:r>
    </w:p>
    <w:p>
      <w:pPr>
        <w:ind w:left="340" w:hanging="227"/>
        <w:spacing w:before="0" w:after="40" w:line="276" w:lineRule="auto"/>
      </w:pPr>
      <w:r>
        <w:rPr>
          <w:rFonts w:ascii="Calibri" w:hAnsi="Calibri"/>
          <w:color w:val="1A73E8"/>
          <w:sz w:val="22"/>
        </w:rPr>
        <w:t xml:space="preserve">•  </w:t>
      </w:r>
      <w:r>
        <w:rPr>
          <w:rFonts w:ascii="Calibri" w:hAnsi="Calibri"/>
          <w:b w:val="0"/>
          <w:i w:val="0"/>
          <w:color w:val="333333"/>
          <w:sz w:val="22"/>
        </w:rPr>
        <w:t>Session 10 prepares students for parallel orchestration in Session 11</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6" w:space="0" w:color="C0C0C0"/>
            <w:bottom w:val="none" w:sz="0" w:space="0" w:color="FFFFFF"/>
            <w:left w:val="none" w:sz="0" w:space="0" w:color="FFFFFF"/>
            <w:right w:val="none" w:sz="0" w:space="0" w:color="FFFFFF"/>
          </w:tcBorders>
        </w:tcPr>
        <w:p>
          <w:r>
            <w:rPr>
              <w:rFonts w:ascii="Calibri" w:hAnsi="Calibri"/>
              <w:color w:val="666666"/>
              <w:sz w:val="16"/>
            </w:rPr>
            <w:t>Integral Dragon  |  Confidential</w:t>
          </w:r>
        </w:p>
      </w:tc>
      <w:tc>
        <w:tcPr>
          <w:tcW w:type="dxa" w:w="4680"/>
          <w:tcBorders>
            <w:top w:val="single" w:sz="6" w:space="0" w:color="C0C0C0"/>
            <w:bottom w:val="none" w:sz="0" w:space="0" w:color="FFFFFF"/>
            <w:left w:val="none" w:sz="0" w:space="0" w:color="FFFFFF"/>
            <w:right w:val="none" w:sz="0" w:space="0" w:color="FFFFFF"/>
          </w:tcBorders>
        </w:tcPr>
        <w:p>
          <w:pPr>
            <w:jc w:val="right"/>
          </w:pPr>
          <w:r>
            <w:rPr>
              <w:color w:val="666666"/>
              <w:sz w:val="16"/>
            </w:rPr>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left"/>
      <w:tblLook w:firstColumn="1" w:firstRow="1" w:lastColumn="0" w:lastRow="0" w:noHBand="0" w:noVBand="1" w:val="04A0"/>
    </w:tblPr>
    <w:tblGrid>
      <w:gridCol w:w="4680"/>
      <w:gridCol w:w="4680"/>
    </w:tblGrid>
    <w:tr>
      <w:tc>
        <w:tcPr>
          <w:tcW w:type="dxa" w:w="4680"/>
          <w:tcBorders>
            <w:bottom w:val="single" w:sz="12" w:space="0" w:color="0B2A4A"/>
            <w:top w:val="none" w:sz="0" w:space="0" w:color="FFFFFF"/>
            <w:left w:val="none" w:sz="0" w:space="0" w:color="FFFFFF"/>
            <w:right w:val="none" w:sz="0" w:space="0" w:color="FFFFFF"/>
          </w:tcBorders>
        </w:tcPr>
        <w:p>
          <w:r>
            <w:rPr>
              <w:rFonts w:ascii="Calibri" w:hAnsi="Calibri"/>
              <w:b/>
              <w:color w:val="0B2A4A"/>
              <w:sz w:val="20"/>
            </w:rPr>
            <w:t>INTEGRAL DRAGON</w:t>
          </w:r>
        </w:p>
      </w:tc>
      <w:tc>
        <w:tcPr>
          <w:tcW w:type="dxa" w:w="4680"/>
          <w:tcBorders>
            <w:bottom w:val="single" w:sz="12" w:space="0" w:color="0B2A4A"/>
            <w:top w:val="none" w:sz="0" w:space="0" w:color="FFFFFF"/>
            <w:left w:val="none" w:sz="0" w:space="0" w:color="FFFFFF"/>
            <w:right w:val="none" w:sz="0" w:space="0" w:color="FFFFFF"/>
          </w:tcBorders>
        </w:tcPr>
        <w:p>
          <w:pPr>
            <w:jc w:val="right"/>
          </w:pPr>
          <w:r>
            <w:rPr>
              <w:rFonts w:ascii="Calibri" w:hAnsi="Calibri"/>
              <w:i/>
              <w:color w:val="666666"/>
              <w:sz w:val="18"/>
            </w:rPr>
            <w:t>Session 10 Facilitator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