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spacing w:before="0" w:after="0"/>
      </w:pP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80"/>
      </w:pPr>
      <w:r>
        <w:rPr>
          <w:rFonts w:ascii="Calibri" w:hAnsi="Calibri"/>
          <w:b/>
          <w:color w:val="0B2A4A"/>
          <w:sz w:val="28"/>
        </w:rPr>
        <w:t>INTEGRAL DRAGON</w:t>
      </w:r>
    </w:p>
    <w:p>
      <w:pPr>
        <w:spacing w:before="0" w:after="120"/>
      </w:pPr>
      <w:r>
        <w:rPr>
          <w:rFonts w:ascii="Calibri" w:hAnsi="Calibri"/>
          <w:b/>
          <w:color w:val="0B2A4A"/>
          <w:sz w:val="52"/>
        </w:rPr>
        <w:t>Session 2: LLM Internals for Orchestrators</w:t>
      </w:r>
    </w:p>
    <w:p>
      <w:pPr>
        <w:spacing w:before="0" w:after="120"/>
      </w:pPr>
      <w:r>
        <w:rPr>
          <w:rFonts w:ascii="Calibri" w:hAnsi="Calibri"/>
          <w:color w:val="1A73E8"/>
          <w:sz w:val="26"/>
        </w:rPr>
        <w:t>Reading List &amp; Resources</w:t>
      </w:r>
    </w:p>
    <w:p>
      <w:pPr>
        <w:spacing w:before="0" w:after="80"/>
      </w:pPr>
      <w:r>
        <w:rPr>
          <w:rFonts w:ascii="Calibri" w:hAnsi="Calibri"/>
          <w:color w:val="E86C00"/>
          <w:sz w:val="12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400"/>
      </w:pPr>
      <w:r>
        <w:rPr>
          <w:rFonts w:ascii="Calibri" w:hAnsi="Calibri"/>
          <w:i/>
          <w:color w:val="666666"/>
          <w:sz w:val="20"/>
        </w:rPr>
        <w:t>Prepared by Integral Dragon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Core Reference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Tokenization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Anthropic Tokenizer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console.anthropic.com/tokenizer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Count tokens for any input. Use this directly during the session demo and as a habit when designing prompts.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Claude Model Documentation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Claude API Reference: Models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docs.anthropic.com/en/docs/about-claude/models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Current context window sizes, token limits, and model capability differences. Essential reference for workflow architecture decisions.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Token Counting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Token Counting Guide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docs.anthropic.com/en/docs/build-with-claude/token-counting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How to measure token usage programmatically. Relevant for any team building prompt engineering tooling or cost controls.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Strongly Recommended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Transformer Architecture (Accessible)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"The Illustrated Transformer" — Jay Alammar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jalammar.github.io/illustrated-transformer/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clearest visual explanation of attention and the transformer pass available without ML prerequisites. Recommended for anyone who wants to go one level deeper than the session content.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Prompt Cost and Latency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"Prompt Engineering Guide" — promptingguide.ai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Practical coverage of how prompt structure affects cost and latency. Complements the session's token budgeting content.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For Further Exploration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Context Window Research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"Lost in the Middle: How Language Models Use Long Contexts" — Liu et al.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arxiv.org/abs/2307.03172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Research showing that models do not attend equally to all parts of long contexts — the finding that motivates Session 03's context rot discussion. Read the abstract and conclusions if not the full paper.</w:t>
      </w:r>
    </w:p>
    <w:p>
      <w:pPr>
        <w:spacing w:before="200" w:after="60"/>
      </w:pPr>
      <w:r>
        <w:rPr>
          <w:rFonts w:ascii="Calibri" w:hAnsi="Calibri"/>
          <w:b/>
          <w:color w:val="1A73E8"/>
          <w:sz w:val="26"/>
        </w:rPr>
        <w:t>On Model Uncertainty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"Language Models are Few-Shot Learners" — Brown et al. (GPT-3 paper)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arxiv.org/abs/2005.14165</w:t>
      </w:r>
    </w:p>
    <w:p>
      <w:pPr>
        <w:spacing w:before="0" w:after="80" w:line="276" w:lineRule="auto"/>
      </w:pPr>
      <w:r>
        <w:rPr>
          <w:rFonts w:ascii="Calibri" w:hAnsi="Calibri"/>
          <w:b w:val="0"/>
          <w:i w:val="0"/>
          <w:color w:val="333333"/>
          <w:sz w:val="22"/>
        </w:rPr>
        <w:t>The foundational paper on in-context learning. Relevant for understanding why prompt structure matters so much to output quality.</w:t>
      </w:r>
    </w:p>
    <w:p>
      <w:pPr>
        <w:spacing w:before="240" w:after="80"/>
      </w:pPr>
      <w:r>
        <w:rPr>
          <w:rFonts w:ascii="Calibri" w:hAnsi="Calibri"/>
          <w:b/>
          <w:color w:val="0B2A4A"/>
          <w:sz w:val="32"/>
        </w:rPr>
        <w:t>Practical Tools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tiktoken</w:t>
      </w:r>
      <w:r>
        <w:rPr>
          <w:rFonts w:ascii="Calibri" w:hAnsi="Calibri"/>
          <w:b w:val="0"/>
          <w:i w:val="0"/>
          <w:color w:val="333333"/>
          <w:sz w:val="22"/>
        </w:rPr>
        <w:t xml:space="preserve"> (OpenAI) — pip install tiktoken — A fast tokenizer useful for counting tokens in prompts before sending them. The Claude tokenizer differs slightly but the order of magnitude is comparable.</w:t>
      </w:r>
    </w:p>
    <w:p>
      <w:pPr>
        <w:ind w:left="340" w:hanging="227"/>
        <w:spacing w:before="0" w:after="40" w:line="276" w:lineRule="auto"/>
      </w:pPr>
      <w:r>
        <w:rPr>
          <w:rFonts w:ascii="Calibri" w:hAnsi="Calibri"/>
          <w:color w:val="1A73E8"/>
          <w:sz w:val="22"/>
        </w:rPr>
        <w:t xml:space="preserve">•  </w:t>
      </w:r>
      <w:r>
        <w:rPr>
          <w:rFonts w:ascii="Calibri" w:hAnsi="Calibri"/>
          <w:b/>
          <w:i w:val="0"/>
          <w:color w:val="333333"/>
          <w:sz w:val="22"/>
        </w:rPr>
        <w:t>Anthropic Python SDK</w:t>
      </w:r>
      <w:r>
        <w:rPr>
          <w:rFonts w:ascii="Calibri" w:hAnsi="Calibri"/>
          <w:b w:val="0"/>
          <w:i w:val="0"/>
          <w:color w:val="333333"/>
          <w:sz w:val="22"/>
        </w:rPr>
        <w:t xml:space="preserve"> — pip install anthropic — Includes token counting utilities and streaming support. Use this when building prompt engineering tooling.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color w:val="666666"/>
              <w:sz w:val="16"/>
            </w:rPr>
            <w:t>Integral Dragon  |  Confidential</w:t>
          </w:r>
        </w:p>
      </w:tc>
      <w:tc>
        <w:tcPr>
          <w:tcW w:type="dxa" w:w="4680"/>
          <w:tcBorders>
            <w:top w:val="single" w:sz="6" w:space="0" w:color="C0C0C0"/>
            <w:bottom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color w:val="666666"/>
              <w:sz w:val="16"/>
            </w:rPr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jc w:val="lef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r>
            <w:rPr>
              <w:rFonts w:ascii="Calibri" w:hAnsi="Calibri"/>
              <w:b/>
              <w:color w:val="0B2A4A"/>
              <w:sz w:val="20"/>
            </w:rPr>
            <w:t>INTEGRAL DRAGON</w:t>
          </w:r>
        </w:p>
      </w:tc>
      <w:tc>
        <w:tcPr>
          <w:tcW w:type="dxa" w:w="4680"/>
          <w:tcBorders>
            <w:bottom w:val="single" w:sz="12" w:space="0" w:color="0B2A4A"/>
            <w:top w:val="none" w:sz="0" w:space="0" w:color="FFFFFF"/>
            <w:left w:val="none" w:sz="0" w:space="0" w:color="FFFFFF"/>
            <w:right w:val="none" w:sz="0" w:space="0" w:color="FFFFFF"/>
          </w:tcBorders>
        </w:tcPr>
        <w:p>
          <w:pPr>
            <w:jc w:val="right"/>
          </w:pPr>
          <w:r>
            <w:rPr>
              <w:rFonts w:ascii="Calibri" w:hAnsi="Calibri"/>
              <w:i/>
              <w:color w:val="666666"/>
              <w:sz w:val="18"/>
            </w:rPr>
            <w:t>Session 2 Reading List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