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/>
        <w:spacing w:before="0" w:after="0"/>
      </w:pPr>
    </w:p>
    <w:p>
      <w:pPr>
        <w:spacing w:before="0" w:after="80"/>
      </w:pPr>
      <w:r>
        <w:rPr>
          <w:rFonts w:ascii="Calibri" w:hAnsi="Calibri"/>
          <w:color w:val="E86C00"/>
          <w:sz w:val="12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0" w:after="80"/>
      </w:pPr>
      <w:r>
        <w:rPr>
          <w:rFonts w:ascii="Calibri" w:hAnsi="Calibri"/>
          <w:b/>
          <w:color w:val="0B2A4A"/>
          <w:sz w:val="28"/>
        </w:rPr>
        <w:t>INTEGRAL DRAGON</w:t>
      </w:r>
    </w:p>
    <w:p>
      <w:pPr>
        <w:spacing w:before="0" w:after="120"/>
      </w:pPr>
      <w:r>
        <w:rPr>
          <w:rFonts w:ascii="Calibri" w:hAnsi="Calibri"/>
          <w:b/>
          <w:color w:val="0B2A4A"/>
          <w:sz w:val="52"/>
        </w:rPr>
        <w:t>Session 4: Claude Code CLI Architecture and Setup</w:t>
      </w:r>
    </w:p>
    <w:p>
      <w:pPr>
        <w:spacing w:before="0" w:after="120"/>
      </w:pPr>
      <w:r>
        <w:rPr>
          <w:rFonts w:ascii="Calibri" w:hAnsi="Calibri"/>
          <w:color w:val="1A73E8"/>
          <w:sz w:val="26"/>
        </w:rPr>
        <w:t>Reading List &amp; Resources</w:t>
      </w:r>
    </w:p>
    <w:p>
      <w:pPr>
        <w:spacing w:before="0" w:after="80"/>
      </w:pPr>
      <w:r>
        <w:rPr>
          <w:rFonts w:ascii="Calibri" w:hAnsi="Calibri"/>
          <w:color w:val="E86C00"/>
          <w:sz w:val="12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0" w:after="400"/>
      </w:pPr>
      <w:r>
        <w:rPr>
          <w:rFonts w:ascii="Calibri" w:hAnsi="Calibri"/>
          <w:i/>
          <w:color w:val="666666"/>
          <w:sz w:val="20"/>
        </w:rPr>
        <w:t>Prepared by Integral Dragon</w:t>
      </w:r>
    </w:p>
    <w:p>
      <w:pPr>
        <w:spacing w:before="240" w:after="80"/>
      </w:pPr>
      <w:r>
        <w:rPr>
          <w:rFonts w:ascii="Calibri" w:hAnsi="Calibri"/>
          <w:b/>
          <w:color w:val="0B2A4A"/>
          <w:sz w:val="32"/>
        </w:rPr>
        <w:t>Core Reference</w:t>
      </w:r>
    </w:p>
    <w:p>
      <w:pPr>
        <w:spacing w:before="200" w:after="60"/>
      </w:pPr>
      <w:r>
        <w:rPr>
          <w:rFonts w:ascii="Calibri" w:hAnsi="Calibri"/>
          <w:b/>
          <w:color w:val="1A73E8"/>
          <w:sz w:val="26"/>
        </w:rPr>
        <w:t>Claude Code Installation and Setup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/>
          <w:i w:val="0"/>
          <w:color w:val="333333"/>
          <w:sz w:val="22"/>
        </w:rPr>
        <w:t>Claude Code Setup Documentation</w:t>
      </w:r>
      <w:r>
        <w:rPr>
          <w:rFonts w:ascii="Calibri" w:hAnsi="Calibri"/>
          <w:b w:val="0"/>
          <w:i w:val="0"/>
          <w:color w:val="333333"/>
          <w:sz w:val="22"/>
        </w:rPr>
        <w:t xml:space="preserve"> — docs.anthropic.com/en/docs/claude-code/setup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The official installation and authentication guide. Required reading before the session demo — walk through it in the environment you plan to use for the course.</w:t>
      </w:r>
    </w:p>
    <w:p>
      <w:pPr>
        <w:spacing w:before="200" w:after="60"/>
      </w:pPr>
      <w:r>
        <w:rPr>
          <w:rFonts w:ascii="Calibri" w:hAnsi="Calibri"/>
          <w:b/>
          <w:color w:val="1A73E8"/>
          <w:sz w:val="26"/>
        </w:rPr>
        <w:t>Claude Code Settings and Security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/>
          <w:i w:val="0"/>
          <w:color w:val="333333"/>
          <w:sz w:val="22"/>
        </w:rPr>
        <w:t>Security Documentation</w:t>
      </w:r>
      <w:r>
        <w:rPr>
          <w:rFonts w:ascii="Calibri" w:hAnsi="Calibri"/>
          <w:b w:val="0"/>
          <w:i w:val="0"/>
          <w:color w:val="333333"/>
          <w:sz w:val="22"/>
        </w:rPr>
        <w:t xml:space="preserve"> — docs.anthropic.com/en/docs/claude-code/security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Covers trust boundaries, permission model, and security considerations for enterprise deployments. Directly maps to the trust boundary content in this session.</w:t>
      </w:r>
    </w:p>
    <w:p>
      <w:pPr>
        <w:spacing w:before="200" w:after="60"/>
      </w:pPr>
      <w:r>
        <w:rPr>
          <w:rFonts w:ascii="Calibri" w:hAnsi="Calibri"/>
          <w:b/>
          <w:color w:val="1A73E8"/>
          <w:sz w:val="26"/>
        </w:rPr>
        <w:t>Claude Code CLI Reference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/>
          <w:i w:val="0"/>
          <w:color w:val="333333"/>
          <w:sz w:val="22"/>
        </w:rPr>
        <w:t>Claude Code CLI Reference</w:t>
      </w:r>
      <w:r>
        <w:rPr>
          <w:rFonts w:ascii="Calibri" w:hAnsi="Calibri"/>
          <w:b w:val="0"/>
          <w:i w:val="0"/>
          <w:color w:val="333333"/>
          <w:sz w:val="22"/>
        </w:rPr>
        <w:t xml:space="preserve"> — docs.anthropic.com/en/docs/claude-code/cli-reference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Command flags, slash commands, and configuration options. Use this as a reference when exploring the command surface after setup.</w:t>
      </w:r>
    </w:p>
    <w:p>
      <w:pPr>
        <w:spacing w:before="240" w:after="80"/>
      </w:pPr>
      <w:r>
        <w:rPr>
          <w:rFonts w:ascii="Calibri" w:hAnsi="Calibri"/>
          <w:b/>
          <w:color w:val="0B2A4A"/>
          <w:sz w:val="32"/>
        </w:rPr>
        <w:t>Strongly Recommended</w:t>
      </w:r>
    </w:p>
    <w:p>
      <w:pPr>
        <w:spacing w:before="200" w:after="60"/>
      </w:pPr>
      <w:r>
        <w:rPr>
          <w:rFonts w:ascii="Calibri" w:hAnsi="Calibri"/>
          <w:b/>
          <w:color w:val="1A73E8"/>
          <w:sz w:val="26"/>
        </w:rPr>
        <w:t>On Permission Models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/>
          <w:i w:val="0"/>
          <w:color w:val="333333"/>
          <w:sz w:val="22"/>
        </w:rPr>
        <w:t>Claude Code Permissions Documentation</w:t>
      </w:r>
      <w:r>
        <w:rPr>
          <w:rFonts w:ascii="Calibri" w:hAnsi="Calibri"/>
          <w:b w:val="0"/>
          <w:i w:val="0"/>
          <w:color w:val="333333"/>
          <w:sz w:val="22"/>
        </w:rPr>
        <w:t xml:space="preserve"> — docs.anthropic.com/en/docs/claude-code/settings#permissions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How approval modes work, what each mode allows, and when to use each. Essential for configuring the harness correctly in enterprise environments.</w:t>
      </w:r>
    </w:p>
    <w:p>
      <w:pPr>
        <w:spacing w:before="200" w:after="60"/>
      </w:pPr>
      <w:r>
        <w:rPr>
          <w:rFonts w:ascii="Calibri" w:hAnsi="Calibri"/>
          <w:b/>
          <w:color w:val="1A73E8"/>
          <w:sz w:val="26"/>
        </w:rPr>
        <w:t>On `.claudeignore`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/>
          <w:i w:val="0"/>
          <w:color w:val="333333"/>
          <w:sz w:val="22"/>
        </w:rPr>
        <w:t>`.claudeignore` Documentation</w:t>
      </w:r>
      <w:r>
        <w:rPr>
          <w:rFonts w:ascii="Calibri" w:hAnsi="Calibri"/>
          <w:b w:val="0"/>
          <w:i w:val="0"/>
          <w:color w:val="333333"/>
          <w:sz w:val="22"/>
        </w:rPr>
        <w:t xml:space="preserve"> — docs.anthropic.com/en/docs/claude-code/settings#ignore-files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 xml:space="preserve">How to scope the context loader away from sensitive paths. Treat this like configuring </w:t>
      </w:r>
      <w:r>
        <w:rPr>
          <w:rFonts w:ascii="Consolas" w:hAnsi="Consolas"/>
          <w:b w:val="0"/>
          <w:i w:val="0"/>
          <w:color w:val="1A73E8"/>
          <w:sz w:val="20"/>
        </w:rPr>
        <w:t>.gitignore</w:t>
      </w:r>
      <w:r>
        <w:rPr>
          <w:rFonts w:ascii="Calibri" w:hAnsi="Calibri"/>
          <w:b w:val="0"/>
          <w:i w:val="0"/>
          <w:color w:val="333333"/>
          <w:sz w:val="22"/>
        </w:rPr>
        <w:t xml:space="preserve"> — start restrictive and relax deliberately.</w:t>
      </w:r>
    </w:p>
    <w:p>
      <w:pPr>
        <w:spacing w:before="240" w:after="80"/>
      </w:pPr>
      <w:r>
        <w:rPr>
          <w:rFonts w:ascii="Calibri" w:hAnsi="Calibri"/>
          <w:b/>
          <w:color w:val="0B2A4A"/>
          <w:sz w:val="32"/>
        </w:rPr>
        <w:t>For Further Exploration</w:t>
      </w:r>
    </w:p>
    <w:p>
      <w:pPr>
        <w:spacing w:before="200" w:after="60"/>
      </w:pPr>
      <w:r>
        <w:rPr>
          <w:rFonts w:ascii="Calibri" w:hAnsi="Calibri"/>
          <w:b/>
          <w:color w:val="1A73E8"/>
          <w:sz w:val="26"/>
        </w:rPr>
        <w:t>On Local Agentic Execution Risk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/>
          <w:i w:val="0"/>
          <w:color w:val="333333"/>
          <w:sz w:val="22"/>
        </w:rPr>
        <w:t>"Agents" — Anthropic Documentation</w:t>
      </w:r>
      <w:r>
        <w:rPr>
          <w:rFonts w:ascii="Calibri" w:hAnsi="Calibri"/>
          <w:b w:val="0"/>
          <w:i w:val="0"/>
          <w:color w:val="333333"/>
          <w:sz w:val="22"/>
        </w:rPr>
        <w:t xml:space="preserve"> — docs.anthropic.com/en/docs/build-with-claude/agents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How agentic loops work at the API level. Useful for understanding the execution model underneath the CLI abstraction.</w:t>
      </w:r>
    </w:p>
    <w:p>
      <w:pPr>
        <w:spacing w:before="200" w:after="60"/>
      </w:pPr>
      <w:r>
        <w:rPr>
          <w:rFonts w:ascii="Calibri" w:hAnsi="Calibri"/>
          <w:b/>
          <w:color w:val="1A73E8"/>
          <w:sz w:val="26"/>
        </w:rPr>
        <w:t>On Least Privilege in Engineering Systems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/>
          <w:i w:val="0"/>
          <w:color w:val="333333"/>
          <w:sz w:val="22"/>
        </w:rPr>
        <w:t>OWASP Least Privilege Principle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owasp.org/www-community/Access_Control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The foundational security principle that the trust boundary setup operationalizes. Enterprise teams will recognize this vocabulary immediately.</w:t>
      </w:r>
    </w:p>
    <w:p>
      <w:pPr>
        <w:spacing w:before="200" w:after="60"/>
      </w:pPr>
      <w:r>
        <w:rPr>
          <w:rFonts w:ascii="Calibri" w:hAnsi="Calibri"/>
          <w:b/>
          <w:color w:val="1A73E8"/>
          <w:sz w:val="26"/>
        </w:rPr>
        <w:t>On Enterprise AI Deployment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/>
          <w:i w:val="0"/>
          <w:color w:val="333333"/>
          <w:sz w:val="22"/>
        </w:rPr>
        <w:t>"Model Spec" — Anthropic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anthropic.com/model-spec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Anthropic's specification for how Claude is designed to behave. Useful context for understanding what the model is and is not designed to do without the harness constraints in place.</w:t>
      </w:r>
    </w:p>
    <w:p>
      <w:pPr>
        <w:spacing w:before="240" w:after="80"/>
      </w:pPr>
      <w:r>
        <w:rPr>
          <w:rFonts w:ascii="Calibri" w:hAnsi="Calibri"/>
          <w:b/>
          <w:color w:val="0B2A4A"/>
          <w:sz w:val="32"/>
        </w:rPr>
        <w:t>Practical Checklist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Use this during setup and share with your team: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onsolas" w:hAnsi="Consolas"/>
          <w:b w:val="0"/>
          <w:i w:val="0"/>
          <w:color w:val="1A73E8"/>
          <w:sz w:val="20"/>
        </w:rPr>
        <w:t>claude --version</w:t>
      </w:r>
      <w:r>
        <w:rPr>
          <w:rFonts w:ascii="Calibri" w:hAnsi="Calibri"/>
          <w:b w:val="0"/>
          <w:i w:val="0"/>
          <w:color w:val="333333"/>
          <w:sz w:val="22"/>
        </w:rPr>
        <w:t xml:space="preserve"> resolves correctly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OAuth authentication completed with correct identity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onsolas" w:hAnsi="Consolas"/>
          <w:b w:val="0"/>
          <w:i w:val="0"/>
          <w:color w:val="1A73E8"/>
          <w:sz w:val="20"/>
        </w:rPr>
        <w:t>.claudeignore</w:t>
      </w:r>
      <w:r>
        <w:rPr>
          <w:rFonts w:ascii="Calibri" w:hAnsi="Calibri"/>
          <w:b w:val="0"/>
          <w:i w:val="0"/>
          <w:color w:val="333333"/>
          <w:sz w:val="22"/>
        </w:rPr>
        <w:t xml:space="preserve"> contains entries for: </w:t>
      </w:r>
      <w:r>
        <w:rPr>
          <w:rFonts w:ascii="Consolas" w:hAnsi="Consolas"/>
          <w:b w:val="0"/>
          <w:i w:val="0"/>
          <w:color w:val="1A73E8"/>
          <w:sz w:val="20"/>
        </w:rPr>
        <w:t>.env</w:t>
      </w:r>
      <w:r>
        <w:rPr>
          <w:rFonts w:ascii="Calibri" w:hAnsi="Calibri"/>
          <w:b w:val="0"/>
          <w:i w:val="0"/>
          <w:color w:val="333333"/>
          <w:sz w:val="22"/>
        </w:rPr>
        <w:t>, secrets directories, credentials files, build artifacts, dependency directories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 xml:space="preserve">Approval mode is set to a level appropriate for the environment (not </w:t>
      </w:r>
      <w:r>
        <w:rPr>
          <w:rFonts w:ascii="Consolas" w:hAnsi="Consolas"/>
          <w:b w:val="0"/>
          <w:i w:val="0"/>
          <w:color w:val="1A73E8"/>
          <w:sz w:val="20"/>
        </w:rPr>
        <w:t>bypassPermissions</w:t>
      </w:r>
      <w:r>
        <w:rPr>
          <w:rFonts w:ascii="Calibri" w:hAnsi="Calibri"/>
          <w:b w:val="0"/>
          <w:i w:val="0"/>
          <w:color w:val="333333"/>
          <w:sz w:val="22"/>
        </w:rPr>
        <w:t xml:space="preserve"> in interactive development)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onsolas" w:hAnsi="Consolas"/>
          <w:b w:val="0"/>
          <w:i w:val="0"/>
          <w:color w:val="1A73E8"/>
          <w:sz w:val="20"/>
        </w:rPr>
        <w:t>/doctor</w:t>
      </w:r>
      <w:r>
        <w:rPr>
          <w:rFonts w:ascii="Calibri" w:hAnsi="Calibri"/>
          <w:b w:val="0"/>
          <w:i w:val="0"/>
          <w:color w:val="333333"/>
          <w:sz w:val="22"/>
        </w:rPr>
        <w:t xml:space="preserve"> runs without errors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A read-only task completes successfully before any write-capable task is attempted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Style w:val="TableGrid"/>
      <w:tblW w:type="auto" w:w="0"/>
      <w:jc w:val="left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  <w:tcBorders>
            <w:top w:val="single" w:sz="6" w:space="0" w:color="C0C0C0"/>
            <w:bottom w:val="none" w:sz="0" w:space="0" w:color="FFFFFF"/>
            <w:left w:val="none" w:sz="0" w:space="0" w:color="FFFFFF"/>
            <w:right w:val="none" w:sz="0" w:space="0" w:color="FFFFFF"/>
          </w:tcBorders>
        </w:tcPr>
        <w:p>
          <w:r>
            <w:rPr>
              <w:rFonts w:ascii="Calibri" w:hAnsi="Calibri"/>
              <w:color w:val="666666"/>
              <w:sz w:val="16"/>
            </w:rPr>
            <w:t>Integral Dragon  |  Confidential</w:t>
          </w:r>
        </w:p>
      </w:tc>
      <w:tc>
        <w:tcPr>
          <w:tcW w:type="dxa" w:w="4680"/>
          <w:tcBorders>
            <w:top w:val="single" w:sz="6" w:space="0" w:color="C0C0C0"/>
            <w:bottom w:val="none" w:sz="0" w:space="0" w:color="FFFFFF"/>
            <w:left w:val="none" w:sz="0" w:space="0" w:color="FFFFFF"/>
            <w:right w:val="none" w:sz="0" w:space="0" w:color="FFFFFF"/>
          </w:tcBorders>
        </w:tcPr>
        <w:p>
          <w:pPr>
            <w:jc w:val="right"/>
          </w:pPr>
          <w:r>
            <w:rPr>
              <w:color w:val="666666"/>
              <w:sz w:val="16"/>
            </w:rPr>
          </w:r>
          <w:r>
            <w:fldChar w:fldCharType="begin"/>
            <w:instrText xml:space="preserve">PAGE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jc w:val="left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  <w:tcBorders>
            <w:bottom w:val="single" w:sz="12" w:space="0" w:color="0B2A4A"/>
            <w:top w:val="none" w:sz="0" w:space="0" w:color="FFFFFF"/>
            <w:left w:val="none" w:sz="0" w:space="0" w:color="FFFFFF"/>
            <w:right w:val="none" w:sz="0" w:space="0" w:color="FFFFFF"/>
          </w:tcBorders>
        </w:tcPr>
        <w:p>
          <w:r>
            <w:rPr>
              <w:rFonts w:ascii="Calibri" w:hAnsi="Calibri"/>
              <w:b/>
              <w:color w:val="0B2A4A"/>
              <w:sz w:val="20"/>
            </w:rPr>
            <w:t>INTEGRAL DRAGON</w:t>
          </w:r>
        </w:p>
      </w:tc>
      <w:tc>
        <w:tcPr>
          <w:tcW w:type="dxa" w:w="4680"/>
          <w:tcBorders>
            <w:bottom w:val="single" w:sz="12" w:space="0" w:color="0B2A4A"/>
            <w:top w:val="none" w:sz="0" w:space="0" w:color="FFFFFF"/>
            <w:left w:val="none" w:sz="0" w:space="0" w:color="FFFFFF"/>
            <w:right w:val="none" w:sz="0" w:space="0" w:color="FFFFFF"/>
          </w:tcBorders>
        </w:tcPr>
        <w:p>
          <w:pPr>
            <w:jc w:val="right"/>
          </w:pPr>
          <w:r>
            <w:rPr>
              <w:rFonts w:ascii="Calibri" w:hAnsi="Calibri"/>
              <w:i/>
              <w:color w:val="666666"/>
              <w:sz w:val="18"/>
            </w:rPr>
            <w:t>Session 4 Reading List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