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 w:line="276" w:lineRule="auto"/>
      </w:pPr>
    </w:p>
    <w:p>
      <w:pPr>
        <w:spacing w:before="12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E86C00"/>
          <w:sz w:val="12"/>
          <w:u w:val="none"/>
        </w:rPr>
        <w:t>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28"/>
          <w:u w:val="none"/>
        </w:rPr>
        <w:t>INTEGRAL DRAGON</w:t>
      </w:r>
    </w:p>
    <w:p>
      <w:pPr>
        <w:spacing w:before="8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56"/>
          <w:u w:val="none"/>
        </w:rPr>
        <w:t>Session 05: Spec-Driven Development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1A73E8"/>
          <w:sz w:val="28"/>
          <w:u w:val="none"/>
        </w:rPr>
        <w:t>Participant Handout</w:t>
      </w:r>
    </w:p>
    <w:p>
      <w:pPr>
        <w:spacing w:before="120" w:after="24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E86C00"/>
          <w:sz w:val="12"/>
          <w:u w:val="none"/>
        </w:rPr>
        <w:t>____________________________________________________________</w:t>
      </w:r>
    </w:p>
    <w:p>
      <w:pPr>
        <w:spacing w:before="80" w:after="0" w:line="276" w:lineRule="auto"/>
      </w:pPr>
      <w:r>
        <w:rPr>
          <w:rFonts w:ascii="Calibri" w:hAnsi="Calibri" w:cs="Calibri"/>
          <w:rFonts w:ascii="Calibri" w:hAnsi="Calibri"/>
          <w:b w:val="0"/>
          <w:i/>
          <w:color w:val="666666"/>
          <w:sz w:val="20"/>
          <w:u w:val="none"/>
        </w:rPr>
        <w:t>Prepared by Integral Dragon</w:t>
      </w:r>
    </w:p>
    <w:p>
      <w:r>
        <w:br w:type="page"/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Practice Exercise 1: Ticket Triage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Take this weak ticket: </w:t>
      </w: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>"Add MFA support to login"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Rewrite it into a compact engineering spec with: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One clear goal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Three constraints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Four acceptance criteria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Two explicit non-goals</w:t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Practice Exercise 2: Acceptance-Criteria Hardening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Given these weak criteria, rewrite each one so a reviewer could actually verify it: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1.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"Make the endpoint faster"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2.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"Improve security"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3.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"Keep the UX simple"</w:t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Discussion Prompts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Where does your team currently confuse a ticket with a specification?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What is the smallest amount of structure that would materially improve your PR quality?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Which work types in your environment most need specs before AI touches them: auth, billing, migrations, CI, or docs?</w:t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Between-Session Fieldwork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Complete all three tasks before the next session: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1.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Take one real ticket from your backlog and rewrite it into a compact spec using the template from today's session.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2.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Ask Claude Code to critique the spec for ambiguity, hidden assumptions, and missing edge cases.</w:t>
      </w:r>
    </w:p>
    <w:p>
      <w:pPr>
        <w:spacing w:before="40" w:after="40" w:line="276" w:lineRule="auto"/>
        <w:ind w:left="567" w:hanging="283"/>
      </w:pP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 xml:space="preserve">3.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Revise the spec once, then note what changed and why.</w:t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Reflection Submission</w:t>
      </w:r>
    </w:p>
    <w:p>
      <w:pPr>
        <w:spacing w:before="80" w:after="120" w:line="276" w:lineRule="auto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Write 6–8 sentences answering: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What ambiguity did you discover only after forcing the request into a spec?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Which acceptance criterion was hardest to make binary?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>What would have gone wrong if the agent had started coding before this rewrite?</w:t>
      </w: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Quick Reference: Minimum Viable Spec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Borders>
          <w:top w:val="single" w:sz="4" w:space="0" w:color="1A73E8"/>
          <w:left w:val="single" w:sz="4" w:space="0" w:color="1A73E8"/>
          <w:bottom w:val="single" w:sz="4" w:space="0" w:color="1A73E8"/>
          <w:right w:val="single" w:sz="4" w:space="0" w:color="1A73E8"/>
          <w:insideH w:val="single" w:sz="4" w:space="0" w:color="1A73E8"/>
          <w:insideV w:val="single" w:sz="4" w:space="0" w:color="1A73E8"/>
        </w:tblBorders>
      </w:tblPr>
      <w:tblGrid>
        <w:gridCol w:w="4703"/>
        <w:gridCol w:w="4703"/>
      </w:tblGrid>
      <w:tr>
        <w:tc>
          <w:tcPr>
            <w:tcW w:type="dxa" w:w="4703"/>
            <w:shd w:fill="0B2A4A" w:val="clear"/>
          </w:tcPr>
          <w:p>
            <w:pPr>
              <w:jc w:val="left"/>
            </w:pPr>
            <w:r>
              <w:rPr>
                <w:rFonts w:ascii="Calibri" w:hAnsi="Calibri" w:cs="Calibri"/>
                <w:rFonts w:ascii="Calibri" w:hAnsi="Calibri"/>
                <w:b/>
                <w:i w:val="0"/>
                <w:color w:val="FFFFFF"/>
                <w:sz w:val="20"/>
                <w:u w:val="none"/>
              </w:rPr>
              <w:t>Field</w:t>
            </w:r>
          </w:p>
        </w:tc>
        <w:tc>
          <w:tcPr>
            <w:tcW w:type="dxa" w:w="4703"/>
            <w:shd w:fill="0B2A4A" w:val="clear"/>
          </w:tcPr>
          <w:p>
            <w:pPr>
              <w:jc w:val="left"/>
            </w:pPr>
            <w:r>
              <w:rPr>
                <w:rFonts w:ascii="Calibri" w:hAnsi="Calibri" w:cs="Calibri"/>
                <w:rFonts w:ascii="Calibri" w:hAnsi="Calibri"/>
                <w:b/>
                <w:i w:val="0"/>
                <w:color w:val="FFFFFF"/>
                <w:sz w:val="20"/>
                <w:u w:val="none"/>
              </w:rPr>
              <w:t>What It Answers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Problem Statement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is broken or missing?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Current Boundary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area, files, or services are affected?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Inputs &amp; Outputs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goes in, what comes out?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Constraints &amp; Invariants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must not be violated?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Edge Cases &amp; Failure Modes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can go wrong?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Acceptance Checks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Binary pass/fail criteria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Non-Goals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/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What is explicitly out of scope?</w:t>
            </w:r>
          </w:p>
        </w:tc>
      </w:tr>
    </w:tbl>
    <w:p>
      <w:pPr>
        <w:spacing w:before="0" w:after="80" w:line="276" w:lineRule="auto"/>
      </w:pPr>
    </w:p>
    <w:p>
      <w:pPr>
        <w:spacing w:before="360" w:after="160" w:line="276" w:lineRule="auto"/>
      </w:pPr>
      <w:r>
        <w:rPr>
          <w:rFonts w:ascii="Calibri" w:hAnsi="Calibri" w:cs="Calibri"/>
          <w:rFonts w:ascii="Calibri" w:hAnsi="Calibri"/>
          <w:b/>
          <w:i w:val="0"/>
          <w:color w:val="0B2A4A"/>
          <w:sz w:val="32"/>
          <w:u w:val="none"/>
        </w:rPr>
        <w:t>Recommended Reading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>Thoughtworks Technology Radar Vol. 33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 — Distinguishes context engineering from prompt wording; describes reverse-engineering to design to forward-engineering loop useful for spec-first work. </w:t>
      </w:r>
      <w:r>
        <w:rPr>
          <w:rFonts w:ascii="Calibri" w:hAnsi="Calibri" w:cs="Calibri"/>
          <w:rFonts w:ascii="Calibri" w:hAnsi="Calibri"/>
          <w:b w:val="0"/>
          <w:i w:val="0"/>
          <w:color w:val="1A73E8"/>
          <w:sz w:val="18"/>
          <w:u w:val="single"/>
        </w:rPr>
        <w:t>https://www.thoughtworks.com/content/dam/thoughtworks/documents/radar/2025/11/tr_technology_radar_vol_33_en.pdf</w:t>
      </w:r>
    </w:p>
    <w:p>
      <w:pPr>
        <w:spacing w:before="40" w:after="40" w:line="276" w:lineRule="auto"/>
        <w:ind w:left="567" w:hanging="227"/>
      </w:pP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333333"/>
          <w:sz w:val="22"/>
          <w:u w:val="none"/>
        </w:rPr>
        <w:t>Addy Osmani, "Vibe coding is not the same as AI-Assisted engineering"</w:t>
      </w:r>
      <w:r>
        <w:rPr>
          <w:rFonts w:ascii="Calibri" w:hAnsi="Calibri" w:cs="Calibri"/>
          <w:rFonts w:ascii="Calibri" w:hAnsi="Calibri"/>
          <w:b w:val="0"/>
          <w:i w:val="0"/>
          <w:color w:val="333333"/>
          <w:sz w:val="22"/>
          <w:u w:val="none"/>
        </w:rPr>
        <w:t xml:space="preserve"> — Sharp language for the mindset shift from prompt-and-pray to structured engineering. </w:t>
      </w:r>
      <w:r>
        <w:rPr>
          <w:rFonts w:ascii="Calibri" w:hAnsi="Calibri" w:cs="Calibri"/>
          <w:rFonts w:ascii="Calibri" w:hAnsi="Calibri"/>
          <w:b w:val="0"/>
          <w:i w:val="0"/>
          <w:color w:val="1A73E8"/>
          <w:sz w:val="18"/>
          <w:u w:val="single"/>
        </w:rPr>
        <w:t>https://medium.com/@addyosmani/vibe-coding-is-not-the-same-as-ai-assisted-engineering-3f81088d5b98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W w:type="pct" w:w="500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4680"/>
          <w:tcBorders>
            <w:top w:val="single" w:sz="4" w:space="0" w:color="F2F2F2"/>
          </w:tcBorders>
        </w:tcPr>
        <w:p>
          <w:r>
            <w:rPr>
              <w:rFonts w:ascii="Calibri" w:hAnsi="Calibri" w:cs="Calibri"/>
              <w:rFonts w:ascii="Calibri" w:hAnsi="Calibri"/>
              <w:b w:val="0"/>
              <w:i w:val="0"/>
              <w:color w:val="666666"/>
              <w:sz w:val="16"/>
              <w:u w:val="none"/>
            </w:rPr>
            <w:t>Integral Dragon  |  Confidential</w:t>
          </w:r>
        </w:p>
      </w:tc>
      <w:tc>
        <w:tcPr>
          <w:tcW w:type="dxa" w:w="4680"/>
          <w:tcBorders>
            <w:top w:val="single" w:sz="4" w:space="0" w:color="F2F2F2"/>
          </w:tcBorders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fldChar w:fldCharType="begin"/>
          </w:r>
          <w:r>
            <w:rPr>
              <w:color w:val="666666"/>
              <w:sz w:val="16"/>
            </w:rPr>
            <w:instrText xml:space="preserve"> PAGE </w:instrText>
          </w:r>
          <w:r>
            <w:rPr>
              <w:color w:val="666666"/>
              <w:sz w:val="16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W w:type="pct" w:w="500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4680"/>
          <w:tcBorders>
            <w:bottom w:val="single" w:sz="6" w:space="0" w:color="0B2A4A"/>
          </w:tcBorders>
        </w:tcPr>
        <w:p>
          <w:r>
            <w:rPr>
              <w:rFonts w:ascii="Calibri" w:hAnsi="Calibri" w:cs="Calibri"/>
              <w:rFonts w:ascii="Calibri" w:hAnsi="Calibri"/>
              <w:b/>
              <w:i w:val="0"/>
              <w:color w:val="0B2A4A"/>
              <w:sz w:val="20"/>
              <w:u w:val="none"/>
            </w:rPr>
            <w:t>INTEGRAL DRAGON</w:t>
          </w:r>
        </w:p>
      </w:tc>
      <w:tc>
        <w:tcPr>
          <w:tcW w:type="dxa" w:w="4680"/>
          <w:tcBorders>
            <w:bottom w:val="single" w:sz="6" w:space="0" w:color="0B2A4A"/>
          </w:tcBorders>
        </w:tcPr>
        <w:p>
          <w:pPr>
            <w:jc w:val="right"/>
          </w:pPr>
          <w:r>
            <w:rPr>
              <w:rFonts w:ascii="Calibri" w:hAnsi="Calibri" w:cs="Calibri"/>
              <w:rFonts w:ascii="Calibri" w:hAnsi="Calibri"/>
              <w:b w:val="0"/>
              <w:i/>
              <w:color w:val="666666"/>
              <w:sz w:val="18"/>
              <w:u w:val="none"/>
            </w:rPr>
            <w:t>Session 05: Spec-Driven Development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