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 w:after="0"/>
      </w:pPr>
    </w:p>
    <w:p>
      <w:pPr>
        <w:spacing w:before="0" w:after="80"/>
      </w:pPr>
      <w:r>
        <w:rPr>
          <w:rFonts w:ascii="Calibri" w:hAnsi="Calibri"/>
          <w:color w:val="E86C00"/>
          <w:sz w:val="12"/>
        </w:rPr>
        <w:t>───────────────────────────────────────────────────────</w:t>
      </w:r>
    </w:p>
    <w:p>
      <w:pPr>
        <w:spacing w:before="0" w:after="80"/>
      </w:pPr>
      <w:r>
        <w:rPr>
          <w:rFonts w:ascii="Calibri" w:hAnsi="Calibri"/>
          <w:b/>
          <w:color w:val="0B2A4A"/>
          <w:sz w:val="28"/>
        </w:rPr>
        <w:t>INTEGRAL DRAGON</w:t>
      </w:r>
    </w:p>
    <w:p>
      <w:pPr>
        <w:spacing w:before="0" w:after="120"/>
      </w:pPr>
      <w:r>
        <w:rPr>
          <w:rFonts w:ascii="Calibri" w:hAnsi="Calibri"/>
          <w:b/>
          <w:color w:val="0B2A4A"/>
          <w:sz w:val="52"/>
        </w:rPr>
        <w:t>Session 08: Extending Capabilities with MCP</w:t>
      </w:r>
    </w:p>
    <w:p>
      <w:pPr>
        <w:spacing w:before="0" w:after="120"/>
      </w:pPr>
      <w:r>
        <w:rPr>
          <w:rFonts w:ascii="Calibri" w:hAnsi="Calibri"/>
          <w:color w:val="1A73E8"/>
          <w:sz w:val="26"/>
        </w:rPr>
        <w:t>Reading List &amp; Resources</w:t>
      </w:r>
    </w:p>
    <w:p>
      <w:pPr>
        <w:spacing w:before="0" w:after="80"/>
      </w:pPr>
      <w:r>
        <w:rPr>
          <w:rFonts w:ascii="Calibri" w:hAnsi="Calibri"/>
          <w:color w:val="E86C00"/>
          <w:sz w:val="12"/>
        </w:rPr>
        <w:t>───────────────────────────────────────────────────────</w:t>
      </w:r>
    </w:p>
    <w:p>
      <w:pPr>
        <w:spacing w:before="0" w:after="400"/>
      </w:pPr>
      <w:r>
        <w:rPr>
          <w:rFonts w:ascii="Calibri" w:hAnsi="Calibri"/>
          <w:i/>
          <w:color w:val="666666"/>
          <w:sz w:val="20"/>
        </w:rPr>
        <w:t>Prepared by Integral Dragon</w:t>
      </w:r>
    </w:p>
    <w:p>
      <w:pPr>
        <w:spacing w:before="240" w:after="80"/>
      </w:pPr>
      <w:r>
        <w:rPr>
          <w:rFonts w:ascii="Calibri" w:hAnsi="Calibri"/>
          <w:b/>
          <w:color w:val="0B2A4A"/>
          <w:sz w:val="32"/>
        </w:rPr>
        <w:t>Session 08</w:t>
      </w:r>
    </w:p>
    <w:p>
      <w:pPr>
        <w:spacing w:before="240" w:after="80"/>
      </w:pPr>
      <w:r>
        <w:rPr>
          <w:rFonts w:ascii="Calibri" w:hAnsi="Calibri"/>
          <w:b/>
          <w:color w:val="0B2A4A"/>
          <w:sz w:val="32"/>
        </w:rPr>
        <w:t>Extending Capabilities with MCP</w:t>
      </w:r>
    </w:p>
    <w:p>
      <w:pPr>
        <w:spacing w:before="0" w:after="80" w:line="276" w:lineRule="auto"/>
      </w:pPr>
      <w:r>
        <w:rPr>
          <w:rFonts w:ascii="Calibri" w:hAnsi="Calibri"/>
          <w:color w:val="333333"/>
          <w:sz w:val="22"/>
        </w:rPr>
        <w:t>Verified on 2026-04-10. Primary sources are prioritized.</w:t>
      </w:r>
    </w:p>
    <w:p>
      <w:pPr>
        <w:spacing w:before="200" w:after="60"/>
      </w:pPr>
      <w:r>
        <w:rPr>
          <w:rFonts w:ascii="Calibri" w:hAnsi="Calibri"/>
          <w:b/>
          <w:color w:val="1A73E8"/>
          <w:sz w:val="26"/>
        </w:rPr>
        <w:t>Core references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color w:val="333333"/>
          <w:sz w:val="22"/>
        </w:rPr>
        <w:t>Claude Code Docs, Connect Claude Code to tools via MCP</w:t>
      </w:r>
    </w:p>
    <w:p>
      <w:pPr>
        <w:spacing w:before="0" w:after="80" w:line="276" w:lineRule="auto"/>
      </w:pPr>
      <w:r>
        <w:rPr>
          <w:rFonts w:ascii="Calibri" w:hAnsi="Calibri"/>
          <w:color w:val="333333"/>
          <w:sz w:val="22"/>
        </w:rPr>
        <w:t>https://code.claude.com/docs/en/mcp</w:t>
      </w:r>
    </w:p>
    <w:p>
      <w:pPr>
        <w:spacing w:before="0" w:after="80" w:line="276" w:lineRule="auto"/>
      </w:pPr>
      <w:r>
        <w:rPr>
          <w:rFonts w:ascii="Calibri" w:hAnsi="Calibri"/>
          <w:color w:val="333333"/>
          <w:sz w:val="22"/>
        </w:rPr>
        <w:t>Why it matters: documents the current Claude Code MCP workflow, configuration model, and operational patterns for adding servers and using tool-connected capabilities.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color w:val="333333"/>
          <w:sz w:val="22"/>
        </w:rPr>
        <w:t>Model Context Protocol, Introduction</w:t>
      </w:r>
    </w:p>
    <w:p>
      <w:pPr>
        <w:spacing w:before="0" w:after="80" w:line="276" w:lineRule="auto"/>
      </w:pPr>
      <w:r>
        <w:rPr>
          <w:rFonts w:ascii="Calibri" w:hAnsi="Calibri"/>
          <w:color w:val="333333"/>
          <w:sz w:val="22"/>
        </w:rPr>
        <w:t>https://modelcontextprotocol.io/docs/getting-started/intro</w:t>
      </w:r>
    </w:p>
    <w:p>
      <w:pPr>
        <w:spacing w:before="0" w:after="80" w:line="276" w:lineRule="auto"/>
      </w:pPr>
      <w:r>
        <w:rPr>
          <w:rFonts w:ascii="Calibri" w:hAnsi="Calibri"/>
          <w:color w:val="333333"/>
          <w:sz w:val="22"/>
        </w:rPr>
        <w:t>Why it matters: official high-level explanation of MCP as an open protocol for connecting models to tools, resources, and prompts.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color w:val="333333"/>
          <w:sz w:val="22"/>
        </w:rPr>
        <w:t>Model Context Protocol, Core architecture</w:t>
      </w:r>
    </w:p>
    <w:p>
      <w:pPr>
        <w:spacing w:before="0" w:after="80" w:line="276" w:lineRule="auto"/>
      </w:pPr>
      <w:r>
        <w:rPr>
          <w:rFonts w:ascii="Calibri" w:hAnsi="Calibri"/>
          <w:color w:val="333333"/>
          <w:sz w:val="22"/>
        </w:rPr>
        <w:t>https://modelcontextprotocol.io/legacy/concepts/architecture</w:t>
      </w:r>
    </w:p>
    <w:p>
      <w:pPr>
        <w:spacing w:before="0" w:after="80" w:line="276" w:lineRule="auto"/>
      </w:pPr>
      <w:r>
        <w:rPr>
          <w:rFonts w:ascii="Calibri" w:hAnsi="Calibri"/>
          <w:color w:val="333333"/>
          <w:sz w:val="22"/>
        </w:rPr>
        <w:t>Why it matters: gives a practical architecture view of clients, servers, transports, and message flow so students can reason about the integration boundary.</w:t>
      </w:r>
    </w:p>
    <w:p>
      <w:pPr>
        <w:spacing w:before="200" w:after="60"/>
      </w:pPr>
      <w:r>
        <w:rPr>
          <w:rFonts w:ascii="Calibri" w:hAnsi="Calibri"/>
          <w:b/>
          <w:color w:val="1A73E8"/>
          <w:sz w:val="26"/>
        </w:rPr>
        <w:t>Strongly recommended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color w:val="333333"/>
          <w:sz w:val="22"/>
        </w:rPr>
        <w:t>Model Context Protocol specification, Basic transports</w:t>
      </w:r>
    </w:p>
    <w:p>
      <w:pPr>
        <w:spacing w:before="0" w:after="80" w:line="276" w:lineRule="auto"/>
      </w:pPr>
      <w:r>
        <w:rPr>
          <w:rFonts w:ascii="Calibri" w:hAnsi="Calibri"/>
          <w:color w:val="333333"/>
          <w:sz w:val="22"/>
        </w:rPr>
        <w:t>https://modelcontextprotocol.io/specification/2025-06-18/basic/transports</w:t>
      </w:r>
    </w:p>
    <w:p>
      <w:pPr>
        <w:spacing w:before="0" w:after="80" w:line="276" w:lineRule="auto"/>
      </w:pPr>
      <w:r>
        <w:rPr>
          <w:rFonts w:ascii="Calibri" w:hAnsi="Calibri"/>
          <w:color w:val="333333"/>
          <w:sz w:val="22"/>
        </w:rPr>
        <w:t>Why it matters: useful for advanced learners who need to understand how MCP messages move and what operational choices exist around transport.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color w:val="333333"/>
          <w:sz w:val="22"/>
        </w:rPr>
        <w:t>Anthropic, Claude Code settings</w:t>
      </w:r>
    </w:p>
    <w:p>
      <w:pPr>
        <w:spacing w:before="0" w:after="80" w:line="276" w:lineRule="auto"/>
      </w:pPr>
      <w:r>
        <w:rPr>
          <w:rFonts w:ascii="Calibri" w:hAnsi="Calibri"/>
          <w:color w:val="333333"/>
          <w:sz w:val="22"/>
        </w:rPr>
        <w:t>https://code.claude.com/docs/en/settings</w:t>
      </w:r>
    </w:p>
    <w:p>
      <w:pPr>
        <w:spacing w:before="0" w:after="80" w:line="276" w:lineRule="auto"/>
      </w:pPr>
      <w:r>
        <w:rPr>
          <w:rFonts w:ascii="Calibri" w:hAnsi="Calibri"/>
          <w:color w:val="333333"/>
          <w:sz w:val="22"/>
        </w:rPr>
        <w:t>Why it matters: clarifies where MCP servers are configured and how project, local, and managed scopes affect rollout and governance.</w:t>
      </w:r>
    </w:p>
    <w:p>
      <w:pPr>
        <w:spacing w:before="200" w:after="60"/>
      </w:pPr>
      <w:r>
        <w:rPr>
          <w:rFonts w:ascii="Calibri" w:hAnsi="Calibri"/>
          <w:b/>
          <w:color w:val="1A73E8"/>
          <w:sz w:val="26"/>
        </w:rPr>
        <w:t>Suggested follow-through</w:t>
      </w:r>
    </w:p>
    <w:p>
      <w:pPr>
        <w:spacing w:before="0" w:after="80" w:line="276" w:lineRule="auto"/>
      </w:pPr>
      <w:r>
        <w:rPr>
          <w:rFonts w:ascii="Calibri" w:hAnsi="Calibri"/>
          <w:color w:val="333333"/>
          <w:sz w:val="22"/>
        </w:rPr>
        <w:t>Take one candidate tool integration in your environment and answer: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color w:val="333333"/>
          <w:sz w:val="22"/>
        </w:rPr>
        <w:t>What business value does it unlock?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color w:val="333333"/>
          <w:sz w:val="22"/>
        </w:rPr>
        <w:t>What is the minimum safe scope for first exposure?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color w:val="333333"/>
          <w:sz w:val="22"/>
        </w:rPr>
        <w:t>What audit trail would your platform or security team require?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Style w:val="TableGrid"/>
      <w:tblW w:type="auto" w:w="0"/>
      <w:jc w:val="left"/>
      <w:tblLook w:firstColumn="1" w:firstRow="1" w:lastColumn="0" w:lastRow="0" w:noHBand="0" w:noVBand="1" w:val="04A0"/>
    </w:tblPr>
    <w:tblGrid>
      <w:gridCol w:w="4680"/>
      <w:gridCol w:w="4680"/>
    </w:tblGrid>
    <w:tr>
      <w:tc>
        <w:tcPr>
          <w:tcW w:type="dxa" w:w="4680"/>
          <w:tcBorders>
            <w:top w:val="single" w:sz="6" w:space="0" w:color="C0C0C0"/>
            <w:bottom w:val="none" w:sz="0" w:space="0" w:color="FFFFFF"/>
            <w:left w:val="none" w:sz="0" w:space="0" w:color="FFFFFF"/>
            <w:right w:val="none" w:sz="0" w:space="0" w:color="FFFFFF"/>
          </w:tcBorders>
        </w:tcPr>
        <w:p>
          <w:r>
            <w:rPr>
              <w:rFonts w:ascii="Calibri" w:hAnsi="Calibri"/>
              <w:color w:val="666666"/>
              <w:sz w:val="16"/>
            </w:rPr>
            <w:t>Integral Dragon  |  Confidential</w:t>
          </w:r>
        </w:p>
      </w:tc>
      <w:tc>
        <w:tcPr>
          <w:tcW w:type="dxa" w:w="4680"/>
          <w:tcBorders>
            <w:top w:val="single" w:sz="6" w:space="0" w:color="C0C0C0"/>
            <w:bottom w:val="none" w:sz="0" w:space="0" w:color="FFFFFF"/>
            <w:left w:val="none" w:sz="0" w:space="0" w:color="FFFFFF"/>
            <w:right w:val="none" w:sz="0" w:space="0" w:color="FFFFFF"/>
          </w:tcBorders>
        </w:tcPr>
        <w:p>
          <w:pPr>
            <w:jc w:val="right"/>
          </w:pPr>
          <w:r>
            <w:rPr>
              <w:color w:val="666666"/>
              <w:sz w:val="16"/>
            </w:rPr>
          </w:r>
          <w:r>
            <w:fldChar w:fldCharType="begin"/>
            <w:instrText xml:space="preserve">PAGE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jc w:val="left"/>
      <w:tblLook w:firstColumn="1" w:firstRow="1" w:lastColumn="0" w:lastRow="0" w:noHBand="0" w:noVBand="1" w:val="04A0"/>
    </w:tblPr>
    <w:tblGrid>
      <w:gridCol w:w="4680"/>
      <w:gridCol w:w="4680"/>
    </w:tblGrid>
    <w:tr>
      <w:tc>
        <w:tcPr>
          <w:tcW w:type="dxa" w:w="4680"/>
          <w:tcBorders>
            <w:bottom w:val="single" w:sz="12" w:space="0" w:color="0B2A4A"/>
            <w:top w:val="none" w:sz="0" w:space="0" w:color="FFFFFF"/>
            <w:left w:val="none" w:sz="0" w:space="0" w:color="FFFFFF"/>
            <w:right w:val="none" w:sz="0" w:space="0" w:color="FFFFFF"/>
          </w:tcBorders>
        </w:tcPr>
        <w:p>
          <w:r>
            <w:rPr>
              <w:rFonts w:ascii="Calibri" w:hAnsi="Calibri"/>
              <w:b/>
              <w:color w:val="0B2A4A"/>
              <w:sz w:val="20"/>
            </w:rPr>
            <w:t>INTEGRAL DRAGON</w:t>
          </w:r>
        </w:p>
      </w:tc>
      <w:tc>
        <w:tcPr>
          <w:tcW w:type="dxa" w:w="4680"/>
          <w:tcBorders>
            <w:bottom w:val="single" w:sz="12" w:space="0" w:color="0B2A4A"/>
            <w:top w:val="none" w:sz="0" w:space="0" w:color="FFFFFF"/>
            <w:left w:val="none" w:sz="0" w:space="0" w:color="FFFFFF"/>
            <w:right w:val="none" w:sz="0" w:space="0" w:color="FFFFFF"/>
          </w:tcBorders>
        </w:tcPr>
        <w:p>
          <w:pPr>
            <w:jc w:val="right"/>
          </w:pPr>
          <w:r>
            <w:rPr>
              <w:rFonts w:ascii="Calibri" w:hAnsi="Calibri"/>
              <w:i/>
              <w:color w:val="666666"/>
              <w:sz w:val="18"/>
            </w:rPr>
            <w:t>Session 08 Reading List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