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12 - OWASP Top 10 for Agentic Apps - Reading List</w:t>
      </w:r>
    </w:p>
    <w:bookmarkStart w:id="21" w:name="reading-and-resources"/>
    <w:p>
      <w:pPr>
        <w:pStyle w:val="Heading1"/>
      </w:pPr>
      <w:r>
        <w:t xml:space="preserve">Reading and Resources</w:t>
      </w:r>
    </w:p>
    <w:bookmarkStart w:id="9" w:name="session-12"/>
    <w:p>
      <w:pPr>
        <w:pStyle w:val="Heading2"/>
      </w:pPr>
      <w:r>
        <w:t xml:space="preserve">Session 12</w:t>
      </w:r>
    </w:p>
    <w:bookmarkEnd w:id="9"/>
    <w:bookmarkStart w:id="20" w:name="owasp-top-10-for-agentic-apps"/>
    <w:p>
      <w:pPr>
        <w:pStyle w:val="Heading2"/>
      </w:pPr>
      <w:r>
        <w:t xml:space="preserve">OWASP Top 10 for Agentic Apps</w:t>
      </w:r>
    </w:p>
    <w:p>
      <w:pPr>
        <w:pStyle w:val="FirstParagraph"/>
      </w:pPr>
      <w:r>
        <w:t xml:space="preserve">Verified on 2026-04-13. Primary sources are prioritized.</w:t>
      </w:r>
    </w:p>
    <w:bookmarkStart w:id="13" w:name="core-references"/>
    <w:p>
      <w:pPr>
        <w:pStyle w:val="Heading3"/>
      </w:pPr>
      <w:r>
        <w:t xml:space="preserve">Core references</w:t>
      </w:r>
    </w:p>
    <w:p>
      <w:pPr>
        <w:numPr>
          <w:ilvl w:val="0"/>
          <w:numId w:val="1001"/>
        </w:numPr>
      </w:pPr>
      <w:r>
        <w:t xml:space="preserve">OWASP GenAI Security Project, Agentic Security Initiative</w:t>
      </w:r>
      <w:r>
        <w:t xml:space="preserve"> </w:t>
      </w:r>
      <w:hyperlink r:id="rId10">
        <w:r>
          <w:rPr>
            <w:rStyle w:val="Hyperlink"/>
          </w:rPr>
          <w:t xml:space="preserve">https://genai.owasp.org/initiatives/agentic-security-initiative/</w:t>
        </w:r>
      </w:hyperlink>
      <w:r>
        <w:t xml:space="preserve"> </w:t>
      </w:r>
      <w:r>
        <w:t xml:space="preserve">Why it matters: official project page for the OWASP Top 10 for Agentic Applications and the broader agentic security workstream.</w:t>
      </w:r>
    </w:p>
    <w:p>
      <w:pPr>
        <w:numPr>
          <w:ilvl w:val="0"/>
          <w:numId w:val="1001"/>
        </w:numPr>
      </w:pPr>
      <w:r>
        <w:t xml:space="preserve">OWASP GenAI Security Project, OWASP Top 10 for Agentic Applications for 2026</w:t>
      </w:r>
      <w:r>
        <w:t xml:space="preserve"> </w:t>
      </w:r>
      <w:hyperlink r:id="rId11">
        <w:r>
          <w:rPr>
            <w:rStyle w:val="Hyperlink"/>
          </w:rPr>
          <w:t xml:space="preserve">https://genai.owasp.org/resource/owasp-top-10-for-agentic-applications-for-2026/</w:t>
        </w:r>
      </w:hyperlink>
      <w:r>
        <w:t xml:space="preserve"> </w:t>
      </w:r>
      <w:r>
        <w:t xml:space="preserve">Why it matters: the current official OWASP artifact for the 2026 agentic risks and mitigations discussed in this session.</w:t>
      </w:r>
    </w:p>
    <w:p>
      <w:pPr>
        <w:numPr>
          <w:ilvl w:val="0"/>
          <w:numId w:val="1001"/>
        </w:numPr>
      </w:pPr>
      <w:r>
        <w:t xml:space="preserve">Anthropic, Claude Code Security</w:t>
      </w:r>
      <w:r>
        <w:t xml:space="preserve"> </w:t>
      </w:r>
      <w:hyperlink r:id="rId12">
        <w:r>
          <w:rPr>
            <w:rStyle w:val="Hyperlink"/>
          </w:rPr>
          <w:t xml:space="preserve">https://docs.anthropic.com/en/docs/claude-code/security</w:t>
        </w:r>
      </w:hyperlink>
      <w:r>
        <w:t xml:space="preserve"> </w:t>
      </w:r>
      <w:r>
        <w:t xml:space="preserve">Why it matters: current official guidance on security safeguards, permission-based architecture, and why approval and scoped permissions matter for agentic tools.</w:t>
      </w:r>
    </w:p>
    <w:bookmarkEnd w:id="13"/>
    <w:bookmarkStart w:id="18" w:name="strongly-recommended"/>
    <w:p>
      <w:pPr>
        <w:pStyle w:val="Heading3"/>
      </w:pPr>
      <w:r>
        <w:t xml:space="preserve">Strongly recommended</w:t>
      </w:r>
    </w:p>
    <w:p>
      <w:pPr>
        <w:numPr>
          <w:ilvl w:val="0"/>
          <w:numId w:val="1002"/>
        </w:numPr>
      </w:pPr>
      <w:r>
        <w:t xml:space="preserve">Anthropic, Identity and Access Management</w:t>
      </w:r>
      <w:r>
        <w:t xml:space="preserve"> </w:t>
      </w:r>
      <w:hyperlink r:id="rId14">
        <w:r>
          <w:rPr>
            <w:rStyle w:val="Hyperlink"/>
          </w:rPr>
          <w:t xml:space="preserve">https://docs.anthropic.com/en/docs/claude-code/iam</w:t>
        </w:r>
      </w:hyperlink>
      <w:r>
        <w:t xml:space="preserve"> </w:t>
      </w:r>
      <w:r>
        <w:t xml:space="preserve">Why it matters: documents permission tiers and the current permission model for Claude Code, which is useful for thinking about agent privilege and review boundaries.</w:t>
      </w:r>
    </w:p>
    <w:p>
      <w:pPr>
        <w:numPr>
          <w:ilvl w:val="0"/>
          <w:numId w:val="1002"/>
        </w:numPr>
      </w:pPr>
      <w:r>
        <w:t xml:space="preserve">Anthropic, Connect Claude Code to tools via MCP</w:t>
      </w:r>
      <w:r>
        <w:t xml:space="preserve"> </w:t>
      </w:r>
      <w:hyperlink r:id="rId15">
        <w:r>
          <w:rPr>
            <w:rStyle w:val="Hyperlink"/>
          </w:rPr>
          <w:t xml:space="preserve">https://docs.anthropic.com/en/docs/claude-code/mcp</w:t>
        </w:r>
      </w:hyperlink>
      <w:r>
        <w:t xml:space="preserve"> </w:t>
      </w:r>
      <w:r>
        <w:t xml:space="preserve">Why it matters: clarifies the tool access surface that makes agentic systems more capable and therefore more security-sensitive.</w:t>
      </w:r>
    </w:p>
    <w:p>
      <w:pPr>
        <w:numPr>
          <w:ilvl w:val="0"/>
          <w:numId w:val="1002"/>
        </w:numPr>
      </w:pPr>
      <w:r>
        <w:t xml:space="preserve">NIST SP 800-207, Zero Trust Architecture</w:t>
      </w:r>
      <w:r>
        <w:t xml:space="preserve"> </w:t>
      </w:r>
      <w:hyperlink r:id="rId16">
        <w:r>
          <w:rPr>
            <w:rStyle w:val="Hyperlink"/>
          </w:rPr>
          <w:t xml:space="preserve">https://csrc.nist.gov/pubs/sp/800/207/final</w:t>
        </w:r>
      </w:hyperlink>
      <w:r>
        <w:t xml:space="preserve"> </w:t>
      </w:r>
      <w:r>
        <w:t xml:space="preserve">Why it matters: the canonical zero trust reference for treating systems as explicit trust boundaries rather than relying on network location or implicit trust.</w:t>
      </w:r>
    </w:p>
    <w:p>
      <w:pPr>
        <w:numPr>
          <w:ilvl w:val="0"/>
          <w:numId w:val="1002"/>
        </w:numPr>
      </w:pPr>
      <w:r>
        <w:t xml:space="preserve">OWASP GenAI Security Project, GenAI Red Teaming Initiative</w:t>
      </w:r>
      <w:r>
        <w:t xml:space="preserve"> </w:t>
      </w:r>
      <w:hyperlink r:id="rId17">
        <w:r>
          <w:rPr>
            <w:rStyle w:val="Hyperlink"/>
          </w:rPr>
          <w:t xml:space="preserve">https://genai.owasp.org/initiatives/genai-red-teaming-initiative/</w:t>
        </w:r>
      </w:hyperlink>
      <w:r>
        <w:t xml:space="preserve"> </w:t>
      </w:r>
      <w:r>
        <w:t xml:space="preserve">Why it matters: useful for framing the session as a practical threat-modeling and red-team exercise rather than a purely theoretical discussion.</w:t>
      </w:r>
    </w:p>
    <w:bookmarkEnd w:id="18"/>
    <w:bookmarkStart w:id="19" w:name="suggested-follow-through"/>
    <w:p>
      <w:pPr>
        <w:pStyle w:val="Heading3"/>
      </w:pPr>
      <w:r>
        <w:t xml:space="preserve">Suggested follow-through</w:t>
      </w:r>
    </w:p>
    <w:p>
      <w:pPr>
        <w:pStyle w:val="FirstParagraph"/>
      </w:pPr>
      <w:r>
        <w:t xml:space="preserve">Take one agentic workflow in your environment and answer:</w:t>
      </w:r>
    </w:p>
    <w:p>
      <w:pPr>
        <w:pStyle w:val="Compact"/>
        <w:numPr>
          <w:ilvl w:val="0"/>
          <w:numId w:val="1003"/>
        </w:numPr>
      </w:pPr>
      <w:r>
        <w:t xml:space="preserve">What is the first point where data or instructions can be poisoned?</w:t>
      </w:r>
    </w:p>
    <w:p>
      <w:pPr>
        <w:pStyle w:val="Compact"/>
        <w:numPr>
          <w:ilvl w:val="0"/>
          <w:numId w:val="1003"/>
        </w:numPr>
      </w:pPr>
      <w:r>
        <w:t xml:space="preserve">Which tool or memory boundary is the highest-value control point?</w:t>
      </w:r>
    </w:p>
    <w:p>
      <w:pPr>
        <w:pStyle w:val="Compact"/>
        <w:numPr>
          <w:ilvl w:val="0"/>
          <w:numId w:val="1003"/>
        </w:numPr>
      </w:pPr>
      <w:r>
        <w:t xml:space="preserve">What would be the earliest sign that an agent had moved from content risk into action risk?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csrc.nist.gov/pubs/sp/800/207/final" TargetMode="External" /><Relationship Type="http://schemas.openxmlformats.org/officeDocument/2006/relationships/hyperlink" Id="rId14" Target="https://docs.anthropic.com/en/docs/claude-code/iam" TargetMode="External" /><Relationship Type="http://schemas.openxmlformats.org/officeDocument/2006/relationships/hyperlink" Id="rId15" Target="https://docs.anthropic.com/en/docs/claude-code/mcp" TargetMode="External" /><Relationship Type="http://schemas.openxmlformats.org/officeDocument/2006/relationships/hyperlink" Id="rId12" Target="https://docs.anthropic.com/en/docs/claude-code/security" TargetMode="External" /><Relationship Type="http://schemas.openxmlformats.org/officeDocument/2006/relationships/hyperlink" Id="rId10" Target="https://genai.owasp.org/initiatives/agentic-security-initiative/" TargetMode="External" /><Relationship Type="http://schemas.openxmlformats.org/officeDocument/2006/relationships/hyperlink" Id="rId17" Target="https://genai.owasp.org/initiatives/genai-red-teaming-initiative/" TargetMode="External" /><Relationship Type="http://schemas.openxmlformats.org/officeDocument/2006/relationships/hyperlink" Id="rId11" Target="https://genai.owasp.org/resource/owasp-top-10-for-agentic-applications-for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src.nist.gov/pubs/sp/800/207/final" TargetMode="External" /><Relationship Type="http://schemas.openxmlformats.org/officeDocument/2006/relationships/hyperlink" Id="rId14" Target="https://docs.anthropic.com/en/docs/claude-code/iam" TargetMode="External" /><Relationship Type="http://schemas.openxmlformats.org/officeDocument/2006/relationships/hyperlink" Id="rId15" Target="https://docs.anthropic.com/en/docs/claude-code/mcp" TargetMode="External" /><Relationship Type="http://schemas.openxmlformats.org/officeDocument/2006/relationships/hyperlink" Id="rId12" Target="https://docs.anthropic.com/en/docs/claude-code/security" TargetMode="External" /><Relationship Type="http://schemas.openxmlformats.org/officeDocument/2006/relationships/hyperlink" Id="rId10" Target="https://genai.owasp.org/initiatives/agentic-security-initiative/" TargetMode="External" /><Relationship Type="http://schemas.openxmlformats.org/officeDocument/2006/relationships/hyperlink" Id="rId17" Target="https://genai.owasp.org/initiatives/genai-red-teaming-initiative/" TargetMode="External" /><Relationship Type="http://schemas.openxmlformats.org/officeDocument/2006/relationships/hyperlink" Id="rId11" Target="https://genai.owasp.org/resource/owasp-top-10-for-agentic-applications-for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12 - OWASP Top 10 for Agentic Apps - Reading List</dc:title>
  <dc:creator/>
  <cp:keywords/>
  <dcterms:created xsi:type="dcterms:W3CDTF">2026-04-13T09:05:47Z</dcterms:created>
  <dcterms:modified xsi:type="dcterms:W3CDTF">2026-04-13T09:05:47Z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